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3F23" w14:textId="77777777" w:rsidR="00A27228" w:rsidRDefault="00A27228" w:rsidP="00CC133E"/>
    <w:p w14:paraId="65162D11" w14:textId="2456B52C" w:rsidR="00CC133E" w:rsidRPr="008C6E5B" w:rsidRDefault="009148B6" w:rsidP="00CC133E">
      <w:r>
        <w:drawing>
          <wp:inline distT="0" distB="0" distL="0" distR="0" wp14:anchorId="2D7123EA" wp14:editId="687B940F">
            <wp:extent cx="4639714" cy="1110343"/>
            <wp:effectExtent l="0" t="0" r="0" b="0"/>
            <wp:docPr id="1392698508" name="Picture 35" descr="Logo of Creative New Zealand Arts Council of New Zealand Toi Aotear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98508" name="Picture 35" descr="Logo of Creative New Zealand Arts Council of New Zealand Toi Aotearo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36962" cy="1133616"/>
                    </a:xfrm>
                    <a:prstGeom prst="rect">
                      <a:avLst/>
                    </a:prstGeom>
                    <a:noFill/>
                    <a:ln>
                      <a:noFill/>
                    </a:ln>
                  </pic:spPr>
                </pic:pic>
              </a:graphicData>
            </a:graphic>
          </wp:inline>
        </w:drawing>
      </w:r>
    </w:p>
    <w:p w14:paraId="3C370137" w14:textId="77777777" w:rsidR="009148B6" w:rsidRPr="00085DA4" w:rsidRDefault="009148B6" w:rsidP="009148B6">
      <w:pPr>
        <w:pStyle w:val="BookTitle1"/>
      </w:pPr>
      <w:bookmarkStart w:id="0" w:name="_Hlk220907331"/>
      <w:r w:rsidRPr="00085DA4">
        <w:t>Our long-term strategy to 2040</w:t>
      </w:r>
    </w:p>
    <w:bookmarkEnd w:id="0"/>
    <w:p w14:paraId="25365E91" w14:textId="77777777" w:rsidR="009148B6" w:rsidRPr="00363EBD" w:rsidRDefault="009148B6" w:rsidP="009148B6">
      <w:pPr>
        <w:rPr>
          <w:b/>
          <w:bCs/>
        </w:rPr>
      </w:pPr>
      <w:r w:rsidRPr="00363EBD">
        <w:rPr>
          <w:b/>
          <w:bCs/>
        </w:rPr>
        <w:t>Tū Mai Rā, Toi Aotearoa</w:t>
      </w:r>
    </w:p>
    <w:p w14:paraId="2EE99189" w14:textId="31D6B45F" w:rsidR="008A3C02" w:rsidRPr="008C6E5B" w:rsidRDefault="009148B6" w:rsidP="009148B6">
      <w:r>
        <w:t>Adapted in</w:t>
      </w:r>
      <w:r w:rsidRPr="00475E75">
        <w:t xml:space="preserve"> </w:t>
      </w:r>
      <w:r>
        <w:t>2026</w:t>
      </w:r>
      <w:r w:rsidRPr="00475E75">
        <w:t xml:space="preserve"> by Accessible Formats Service,</w:t>
      </w:r>
      <w:r>
        <w:br/>
      </w:r>
      <w:r>
        <w:rPr>
          <w:szCs w:val="36"/>
        </w:rPr>
        <w:t xml:space="preserve">Blind Low Vision NZ, </w:t>
      </w:r>
      <w:r w:rsidRPr="00475E75">
        <w:t>Auckland</w:t>
      </w:r>
      <w:r>
        <w:t>.</w:t>
      </w:r>
    </w:p>
    <w:p w14:paraId="5180F655" w14:textId="09A68555" w:rsidR="002D4042" w:rsidRPr="008C6E5B" w:rsidRDefault="00F12B16" w:rsidP="009148B6">
      <w:pPr>
        <w:pStyle w:val="imagecaption"/>
        <w:sectPr w:rsidR="002D4042" w:rsidRPr="008C6E5B" w:rsidSect="009108D9">
          <w:footerReference w:type="even" r:id="rId13"/>
          <w:footerReference w:type="default" r:id="rId14"/>
          <w:headerReference w:type="first" r:id="rId15"/>
          <w:pgSz w:w="11907" w:h="16839" w:code="9"/>
          <w:pgMar w:top="1440" w:right="1247" w:bottom="1440" w:left="1247" w:header="624" w:footer="624" w:gutter="0"/>
          <w:pgNumType w:start="1"/>
          <w:cols w:space="708"/>
          <w:titlePg/>
          <w:docGrid w:linePitch="653"/>
        </w:sectPr>
      </w:pPr>
      <w:r w:rsidRPr="008C6E5B">
        <w:rPr>
          <w:b/>
          <w:bCs/>
        </w:rPr>
        <w:t>Transcriber's Note:</w:t>
      </w:r>
      <w:r w:rsidRPr="008C6E5B">
        <w:t xml:space="preserve"> </w:t>
      </w:r>
      <w:bookmarkStart w:id="1" w:name="_Hlk133221549"/>
      <w:r w:rsidR="009148B6">
        <w:rPr>
          <w:b/>
          <w:lang w:val="mi-NZ"/>
        </w:rPr>
        <w:t>TN</w:t>
      </w:r>
      <w:r w:rsidR="009148B6">
        <w:rPr>
          <w:lang w:val="mi-NZ"/>
        </w:rPr>
        <w:t xml:space="preserve">: </w:t>
      </w:r>
      <w:bookmarkEnd w:id="1"/>
      <w:r w:rsidR="009148B6" w:rsidRPr="00363EBD">
        <w:rPr>
          <w:lang w:val="en-AU"/>
        </w:rPr>
        <w:t>Logo for Creative New Zealand featuring a gold spiral icon, the word “creative” in black, and “NZ” in gold script above the text “Arts Council of New Zealand Toi Aotearoa.</w:t>
      </w:r>
      <w:r w:rsidR="00B67A54" w:rsidRPr="008C6E5B">
        <w:t xml:space="preserve"> </w:t>
      </w:r>
    </w:p>
    <w:p w14:paraId="45D44B26" w14:textId="77777777" w:rsidR="008B4CAF" w:rsidRPr="007803A7" w:rsidRDefault="008B4CAF" w:rsidP="008B4CAF">
      <w:pPr>
        <w:pStyle w:val="Heading1"/>
      </w:pPr>
      <w:bookmarkStart w:id="2" w:name="_Toc221809579"/>
      <w:r w:rsidRPr="007803A7">
        <w:lastRenderedPageBreak/>
        <w:t>Our long-term strategy to 2040</w:t>
      </w:r>
    </w:p>
    <w:bookmarkEnd w:id="2"/>
    <w:p w14:paraId="7C53CD7D" w14:textId="77777777" w:rsidR="008B4CAF" w:rsidRPr="00B7075E" w:rsidRDefault="008B4CAF" w:rsidP="008B4CAF">
      <w:pPr>
        <w:pStyle w:val="Heading2"/>
      </w:pPr>
      <w:r w:rsidRPr="00B7075E">
        <w:t>Tīpoka, Summary</w:t>
      </w:r>
    </w:p>
    <w:p w14:paraId="35FF3FB4" w14:textId="77777777" w:rsidR="008B4CAF" w:rsidRDefault="008B4CAF" w:rsidP="008B4CAF">
      <w:pPr>
        <w:rPr>
          <w:rFonts w:eastAsia="Aptos"/>
        </w:rPr>
      </w:pPr>
      <w:r w:rsidRPr="00A676CE">
        <w:rPr>
          <w:rFonts w:eastAsia="Aptos"/>
        </w:rPr>
        <w:t xml:space="preserve">We are </w:t>
      </w:r>
      <w:r w:rsidRPr="00F909EF">
        <w:rPr>
          <w:rFonts w:eastAsia="Aptos"/>
          <w:b/>
          <w:bCs/>
        </w:rPr>
        <w:t>Creative New Zealand Toi Aotearoa</w:t>
      </w:r>
      <w:r w:rsidRPr="00A676CE">
        <w:rPr>
          <w:rFonts w:eastAsia="Aptos"/>
        </w:rPr>
        <w:t>, the national arts development agency of Aotearoa New Zealand.</w:t>
      </w:r>
    </w:p>
    <w:p w14:paraId="1C3BA9A5" w14:textId="4A6611DC" w:rsidR="008B4CAF" w:rsidRDefault="008B4CAF" w:rsidP="008B4CAF">
      <w:pPr>
        <w:rPr>
          <w:rFonts w:eastAsia="Aptos"/>
        </w:rPr>
      </w:pPr>
      <w:r w:rsidRPr="00A676CE">
        <w:rPr>
          <w:rFonts w:eastAsia="Aptos"/>
          <w:i/>
          <w:iCs/>
        </w:rPr>
        <w:t>Tū Mai Rā, Toi Aotearoa</w:t>
      </w:r>
      <w:r w:rsidRPr="00A676CE">
        <w:rPr>
          <w:rFonts w:eastAsia="Aptos"/>
        </w:rPr>
        <w:t xml:space="preserve"> is our long-term strategy, setting out te </w:t>
      </w:r>
      <w:r w:rsidRPr="00A676CE">
        <w:rPr>
          <w:rFonts w:eastAsia="+mn-ea"/>
        </w:rPr>
        <w:t>haerenga</w:t>
      </w:r>
      <w:r w:rsidRPr="00A676CE">
        <w:rPr>
          <w:rFonts w:eastAsia="Aptos"/>
        </w:rPr>
        <w:t xml:space="preserve">, our </w:t>
      </w:r>
      <w:r w:rsidRPr="00A676CE">
        <w:rPr>
          <w:rFonts w:eastAsia="+mn-ea"/>
        </w:rPr>
        <w:t>journey</w:t>
      </w:r>
      <w:r w:rsidRPr="00A676CE">
        <w:rPr>
          <w:rFonts w:eastAsia="Aptos"/>
        </w:rPr>
        <w:t>, to 2040.</w:t>
      </w:r>
    </w:p>
    <w:p w14:paraId="37E7DCD5" w14:textId="77777777" w:rsidR="008B4CAF" w:rsidRDefault="008B4CAF" w:rsidP="008B4CAF">
      <w:pPr>
        <w:rPr>
          <w:rFonts w:eastAsia="Aptos"/>
        </w:rPr>
      </w:pPr>
      <w:r w:rsidRPr="00A676CE">
        <w:rPr>
          <w:rFonts w:eastAsia="Aptos"/>
        </w:rPr>
        <w:t>Te wāheke, our future, is rich with potential: a journey that’s always evolving as we move forward.</w:t>
      </w:r>
    </w:p>
    <w:p w14:paraId="550FB291" w14:textId="77777777" w:rsidR="008B4CAF" w:rsidRDefault="008B4CAF" w:rsidP="008B4CAF">
      <w:pPr>
        <w:pStyle w:val="Heading3"/>
      </w:pPr>
      <w:r w:rsidRPr="007803A7">
        <w:t>Moemoeā, Our vision</w:t>
      </w:r>
    </w:p>
    <w:p w14:paraId="564240B0" w14:textId="77777777" w:rsidR="008B4CAF" w:rsidRPr="001763A1" w:rsidRDefault="008B4CAF" w:rsidP="008B4CAF">
      <w:pPr>
        <w:spacing w:before="240"/>
        <w:rPr>
          <w:rFonts w:eastAsia="Aptos" w:cs="Arial"/>
          <w:b/>
          <w:bCs/>
          <w:color w:val="000000" w:themeColor="text1"/>
          <w:szCs w:val="36"/>
        </w:rPr>
      </w:pPr>
      <w:r w:rsidRPr="001763A1">
        <w:rPr>
          <w:rStyle w:val="Heading3Char"/>
          <w:b w:val="0"/>
          <w:bCs w:val="0"/>
          <w:sz w:val="36"/>
          <w:szCs w:val="36"/>
        </w:rPr>
        <w:t>Our vision reflects our ambitions for the arts and ngā toi Māori out to 2040, that:</w:t>
      </w:r>
    </w:p>
    <w:p w14:paraId="46B87BE0" w14:textId="77777777" w:rsidR="008B4CAF" w:rsidRPr="001871E4" w:rsidRDefault="008B4CAF" w:rsidP="001871E4">
      <w:pPr>
        <w:rPr>
          <w:b/>
          <w:bCs/>
          <w:lang w:val="en-US"/>
        </w:rPr>
      </w:pPr>
      <w:r w:rsidRPr="001871E4">
        <w:rPr>
          <w:b/>
          <w:bCs/>
          <w:lang w:val="en-US"/>
        </w:rPr>
        <w:t xml:space="preserve">The arts and ngā toi Māori are </w:t>
      </w:r>
      <w:r w:rsidRPr="001871E4">
        <w:rPr>
          <w:b/>
          <w:bCs/>
        </w:rPr>
        <w:t>flourishing</w:t>
      </w:r>
      <w:r w:rsidRPr="001871E4">
        <w:rPr>
          <w:b/>
          <w:bCs/>
          <w:lang w:val="en-US"/>
        </w:rPr>
        <w:t>: created by a thriving arts community, enriching lives here and around the world.</w:t>
      </w:r>
    </w:p>
    <w:p w14:paraId="2E751558" w14:textId="77777777" w:rsidR="008B4CAF" w:rsidRDefault="008B4CAF" w:rsidP="008B4CAF">
      <w:pPr>
        <w:spacing w:before="240"/>
        <w:rPr>
          <w:rStyle w:val="Heading3Char"/>
          <w:b w:val="0"/>
          <w:bCs w:val="0"/>
          <w:sz w:val="36"/>
          <w:szCs w:val="36"/>
        </w:rPr>
      </w:pPr>
      <w:r w:rsidRPr="001763A1">
        <w:rPr>
          <w:rStyle w:val="Heading3Char"/>
          <w:b w:val="0"/>
          <w:bCs w:val="0"/>
          <w:sz w:val="36"/>
          <w:szCs w:val="36"/>
        </w:rPr>
        <w:t>In pursuing this vision, we give effect to te pūtake, our purpose</w:t>
      </w:r>
      <w:r>
        <w:rPr>
          <w:rStyle w:val="Heading3Char"/>
          <w:b w:val="0"/>
          <w:bCs w:val="0"/>
          <w:sz w:val="36"/>
          <w:szCs w:val="36"/>
        </w:rPr>
        <w:t>—"</w:t>
      </w:r>
      <w:r w:rsidRPr="001763A1">
        <w:rPr>
          <w:rStyle w:val="Heading3Char"/>
          <w:b w:val="0"/>
          <w:bCs w:val="0"/>
          <w:sz w:val="36"/>
          <w:szCs w:val="36"/>
        </w:rPr>
        <w:t>to encourage, promote and support the arts in New Zealand for the benefit of all New Zealanders</w:t>
      </w:r>
      <w:r>
        <w:rPr>
          <w:rStyle w:val="Heading3Char"/>
          <w:b w:val="0"/>
          <w:bCs w:val="0"/>
          <w:sz w:val="36"/>
          <w:szCs w:val="36"/>
        </w:rPr>
        <w:t>"</w:t>
      </w:r>
      <w:r w:rsidRPr="001763A1">
        <w:rPr>
          <w:rStyle w:val="Heading3Char"/>
          <w:b w:val="0"/>
          <w:bCs w:val="0"/>
          <w:sz w:val="36"/>
          <w:szCs w:val="36"/>
        </w:rPr>
        <w:t>.</w:t>
      </w:r>
    </w:p>
    <w:p w14:paraId="5CC0AA0F" w14:textId="77777777" w:rsidR="008B4CAF" w:rsidRDefault="008B4CAF" w:rsidP="008B4CAF">
      <w:pPr>
        <w:rPr>
          <w:rStyle w:val="Heading3Char"/>
          <w:b w:val="0"/>
          <w:bCs w:val="0"/>
          <w:sz w:val="36"/>
          <w:szCs w:val="36"/>
        </w:rPr>
      </w:pPr>
      <w:r>
        <w:rPr>
          <w:rStyle w:val="Heading3Char"/>
          <w:b w:val="0"/>
          <w:bCs w:val="0"/>
          <w:sz w:val="36"/>
          <w:szCs w:val="36"/>
        </w:rPr>
        <w:br w:type="page"/>
      </w:r>
    </w:p>
    <w:p w14:paraId="6648DA2A" w14:textId="77777777" w:rsidR="008B4CAF" w:rsidRPr="001763A1" w:rsidRDefault="008B4CAF" w:rsidP="008B4CAF">
      <w:pPr>
        <w:pStyle w:val="Heading2"/>
      </w:pPr>
      <w:r w:rsidRPr="001763A1">
        <w:lastRenderedPageBreak/>
        <w:t>Ngā aronga, Our goals</w:t>
      </w:r>
    </w:p>
    <w:p w14:paraId="13E6597F" w14:textId="77777777" w:rsidR="008B4CAF" w:rsidRDefault="008B4CAF" w:rsidP="008B4CAF">
      <w:pPr>
        <w:spacing w:before="240"/>
        <w:rPr>
          <w:rFonts w:eastAsia="Aptos"/>
        </w:rPr>
      </w:pPr>
      <w:r>
        <w:rPr>
          <w:rFonts w:eastAsia="Aptos"/>
        </w:rPr>
        <w:t>We’ll reach our vision by achieving o</w:t>
      </w:r>
      <w:r w:rsidRPr="004D487F">
        <w:rPr>
          <w:rFonts w:eastAsia="Aptos"/>
        </w:rPr>
        <w:t>ur</w:t>
      </w:r>
      <w:r>
        <w:rPr>
          <w:rFonts w:eastAsia="Aptos"/>
        </w:rPr>
        <w:t xml:space="preserve"> long-term</w:t>
      </w:r>
      <w:r w:rsidRPr="004D487F">
        <w:rPr>
          <w:rFonts w:eastAsia="Aptos"/>
        </w:rPr>
        <w:t xml:space="preserve"> goals</w:t>
      </w:r>
      <w:r>
        <w:rPr>
          <w:rFonts w:eastAsia="Aptos"/>
        </w:rPr>
        <w:t>.  These serve as a bridge between where we are now and where we want to be by 2040.</w:t>
      </w:r>
    </w:p>
    <w:p w14:paraId="0704279F" w14:textId="4C63C2DD" w:rsidR="008B4CAF" w:rsidRDefault="008B4CAF" w:rsidP="008B4CAF">
      <w:pPr>
        <w:spacing w:before="240"/>
        <w:rPr>
          <w:color w:val="000000" w:themeColor="text1"/>
        </w:rPr>
      </w:pPr>
      <w:r>
        <w:rPr>
          <w:rFonts w:eastAsia="Aptos"/>
        </w:rPr>
        <w:t>Our goals</w:t>
      </w:r>
      <w:r w:rsidRPr="00871A5C">
        <w:rPr>
          <w:color w:val="000000" w:themeColor="text1"/>
        </w:rPr>
        <w:t xml:space="preserve"> respond to our </w:t>
      </w:r>
      <w:r>
        <w:rPr>
          <w:color w:val="000000" w:themeColor="text1"/>
        </w:rPr>
        <w:t xml:space="preserve">current </w:t>
      </w:r>
      <w:r w:rsidRPr="00871A5C">
        <w:rPr>
          <w:color w:val="000000" w:themeColor="text1"/>
        </w:rPr>
        <w:t>context and where we see things heading.</w:t>
      </w:r>
      <w:r>
        <w:rPr>
          <w:color w:val="000000" w:themeColor="text1"/>
        </w:rPr>
        <w:t xml:space="preserve"> They</w:t>
      </w:r>
      <w:r w:rsidRPr="00871A5C">
        <w:rPr>
          <w:color w:val="000000" w:themeColor="text1"/>
        </w:rPr>
        <w:t xml:space="preserve"> are interconnected</w:t>
      </w:r>
      <w:r>
        <w:rPr>
          <w:color w:val="000000" w:themeColor="text1"/>
        </w:rPr>
        <w:t xml:space="preserve"> and</w:t>
      </w:r>
      <w:r w:rsidRPr="00871A5C">
        <w:rPr>
          <w:color w:val="000000" w:themeColor="text1"/>
        </w:rPr>
        <w:t xml:space="preserve"> will often </w:t>
      </w:r>
      <w:r>
        <w:rPr>
          <w:color w:val="000000" w:themeColor="text1"/>
        </w:rPr>
        <w:t xml:space="preserve">link with and </w:t>
      </w:r>
      <w:r w:rsidRPr="00871A5C">
        <w:rPr>
          <w:color w:val="000000" w:themeColor="text1"/>
        </w:rPr>
        <w:t>contribute to other work being achieved.</w:t>
      </w:r>
    </w:p>
    <w:p w14:paraId="4570A101" w14:textId="77777777" w:rsidR="008B4CAF" w:rsidRPr="00993B28" w:rsidRDefault="008B4CAF" w:rsidP="008B4CAF">
      <w:pPr>
        <w:pStyle w:val="Heading3"/>
      </w:pPr>
      <w:r w:rsidRPr="00993B28">
        <w:rPr>
          <w:lang w:val="en-US"/>
        </w:rPr>
        <w:t xml:space="preserve">Empowered communities, of all kinds, </w:t>
      </w:r>
      <w:r w:rsidRPr="00993B28">
        <w:t>making decisions on the arts and ngā toi Māori closest to them.</w:t>
      </w:r>
    </w:p>
    <w:p w14:paraId="0CDD7D95" w14:textId="77777777" w:rsidR="008B4CAF" w:rsidRDefault="008B4CAF" w:rsidP="008B4CAF">
      <w:pPr>
        <w:spacing w:before="240"/>
      </w:pPr>
      <w:r w:rsidRPr="00F90935">
        <w:t>For the first stage of our journey, our priorities are:</w:t>
      </w:r>
    </w:p>
    <w:p w14:paraId="282764EB" w14:textId="77777777" w:rsidR="008B4CAF" w:rsidRPr="00993B28" w:rsidRDefault="008B4CAF" w:rsidP="008B4CAF">
      <w:pPr>
        <w:pStyle w:val="ListParagraph"/>
        <w:numPr>
          <w:ilvl w:val="0"/>
          <w:numId w:val="35"/>
        </w:numPr>
        <w:spacing w:before="0" w:after="120"/>
        <w:ind w:left="714" w:hanging="357"/>
        <w:rPr>
          <w:lang w:val="en-NZ"/>
        </w:rPr>
      </w:pPr>
      <w:r w:rsidRPr="00993B28">
        <w:rPr>
          <w:lang w:val="en-NZ"/>
        </w:rPr>
        <w:t>developing and implementing our approach to empowering communities to make decisions about the arts and ngā toi</w:t>
      </w:r>
    </w:p>
    <w:p w14:paraId="0A575029" w14:textId="77777777" w:rsidR="008B4CAF" w:rsidRPr="00993B28" w:rsidRDefault="008B4CAF" w:rsidP="008B4CAF">
      <w:pPr>
        <w:pStyle w:val="ListParagraph"/>
        <w:numPr>
          <w:ilvl w:val="0"/>
          <w:numId w:val="35"/>
        </w:numPr>
        <w:spacing w:before="0" w:after="120"/>
        <w:ind w:left="714" w:hanging="357"/>
        <w:rPr>
          <w:lang w:val="en-NZ"/>
        </w:rPr>
      </w:pPr>
      <w:r w:rsidRPr="00993B28">
        <w:rPr>
          <w:lang w:val="en-NZ"/>
        </w:rPr>
        <w:t>strengthening the infrastructure needed for community-led decision-making.</w:t>
      </w:r>
    </w:p>
    <w:p w14:paraId="52AADEA1" w14:textId="77777777" w:rsidR="008B4CAF" w:rsidRPr="00993B28" w:rsidRDefault="008B4CAF" w:rsidP="008B4CAF">
      <w:pPr>
        <w:pStyle w:val="Heading3"/>
      </w:pPr>
      <w:r w:rsidRPr="00993B28">
        <w:rPr>
          <w:lang w:val="en-US"/>
        </w:rPr>
        <w:t xml:space="preserve">Thriving artists, </w:t>
      </w:r>
      <w:r w:rsidRPr="00993B28">
        <w:t>ringatoi</w:t>
      </w:r>
      <w:r w:rsidRPr="00993B28">
        <w:rPr>
          <w:lang w:val="en-US"/>
        </w:rPr>
        <w:t xml:space="preserve"> and practitioners, </w:t>
      </w:r>
      <w:r w:rsidRPr="00993B28">
        <w:t>with viable creative careers, supported by a strong arts infrastructure.</w:t>
      </w:r>
    </w:p>
    <w:p w14:paraId="002BA700" w14:textId="77777777" w:rsidR="008B4CAF" w:rsidRPr="00993B28" w:rsidRDefault="008B4CAF" w:rsidP="008B4CAF">
      <w:pPr>
        <w:rPr>
          <w:i/>
          <w:iCs/>
        </w:rPr>
      </w:pPr>
      <w:r w:rsidRPr="00993B28">
        <w:rPr>
          <w:i/>
          <w:iCs/>
        </w:rPr>
        <w:t>For the first stage of our journey, our priorities are:</w:t>
      </w:r>
    </w:p>
    <w:p w14:paraId="25B25CAE" w14:textId="77777777" w:rsidR="008B4CAF" w:rsidRPr="001763A1" w:rsidRDefault="008B4CAF" w:rsidP="008B4CAF">
      <w:pPr>
        <w:pStyle w:val="ListParagraph"/>
        <w:numPr>
          <w:ilvl w:val="0"/>
          <w:numId w:val="29"/>
        </w:numPr>
        <w:spacing w:before="0" w:after="120"/>
        <w:ind w:left="714" w:hanging="357"/>
        <w:rPr>
          <w:lang w:val="en-NZ"/>
        </w:rPr>
      </w:pPr>
      <w:r w:rsidRPr="001763A1">
        <w:rPr>
          <w:lang w:val="en-NZ"/>
        </w:rPr>
        <w:t xml:space="preserve">strengthening the arts and ngā toi ecosystem by supporting creative enterprises, building capability, </w:t>
      </w:r>
      <w:r w:rsidRPr="001763A1">
        <w:rPr>
          <w:lang w:val="en-NZ"/>
        </w:rPr>
        <w:lastRenderedPageBreak/>
        <w:t>and supporting professional and leadership development</w:t>
      </w:r>
    </w:p>
    <w:p w14:paraId="469A4319" w14:textId="77777777" w:rsidR="008B4CAF" w:rsidRPr="001763A1" w:rsidRDefault="008B4CAF" w:rsidP="008B4CAF">
      <w:pPr>
        <w:pStyle w:val="ListParagraph"/>
        <w:numPr>
          <w:ilvl w:val="0"/>
          <w:numId w:val="29"/>
        </w:numPr>
        <w:spacing w:before="0" w:after="120"/>
        <w:ind w:left="714" w:hanging="357"/>
        <w:rPr>
          <w:lang w:val="en-NZ"/>
        </w:rPr>
      </w:pPr>
      <w:r w:rsidRPr="001763A1">
        <w:rPr>
          <w:lang w:val="en-NZ"/>
        </w:rPr>
        <w:t>leveraging our role as a Crown investor to build relationships with a broader range of supporters, within Aotearoa New Zealand (eg, government, community funders, business, iwi and hapū) and globally, to grow the resource base</w:t>
      </w:r>
    </w:p>
    <w:p w14:paraId="270CEDAD" w14:textId="77777777" w:rsidR="008B4CAF" w:rsidRPr="001763A1" w:rsidRDefault="008B4CAF" w:rsidP="008B4CAF">
      <w:pPr>
        <w:pStyle w:val="ListParagraph"/>
        <w:numPr>
          <w:ilvl w:val="0"/>
          <w:numId w:val="29"/>
        </w:numPr>
        <w:spacing w:before="0" w:after="120"/>
        <w:ind w:left="714" w:hanging="357"/>
        <w:rPr>
          <w:lang w:val="en-NZ"/>
        </w:rPr>
      </w:pPr>
      <w:r w:rsidRPr="001763A1">
        <w:rPr>
          <w:lang w:val="en-NZ"/>
        </w:rPr>
        <w:t>growing markets and opportunities for artists, ringatoi, practitioners and organisations, locally, nationally and globally.</w:t>
      </w:r>
    </w:p>
    <w:p w14:paraId="3606C649" w14:textId="77777777" w:rsidR="008B4CAF" w:rsidRPr="00993B28" w:rsidRDefault="008B4CAF" w:rsidP="008B4CAF">
      <w:pPr>
        <w:pStyle w:val="Heading3"/>
        <w:rPr>
          <w:lang w:val="en-US"/>
        </w:rPr>
      </w:pPr>
      <w:r w:rsidRPr="00993B28">
        <w:rPr>
          <w:lang w:val="en-US"/>
        </w:rPr>
        <w:t>He mana toi, he mana tangata</w:t>
      </w:r>
      <w:r w:rsidRPr="00993B28">
        <w:t>, ngā toi Māori and ringatoi Māori are visible everywhere and highly valued as part of the distinct identity of Aotearoa, which is admired globally.</w:t>
      </w:r>
    </w:p>
    <w:p w14:paraId="3CF1C074" w14:textId="77777777" w:rsidR="008B4CAF" w:rsidRPr="001B4123" w:rsidRDefault="008B4CAF" w:rsidP="008B4CAF">
      <w:pPr>
        <w:spacing w:before="240"/>
        <w:rPr>
          <w:rFonts w:cs="Arial"/>
          <w:i/>
          <w:iCs/>
        </w:rPr>
      </w:pPr>
      <w:r w:rsidRPr="001B4123">
        <w:rPr>
          <w:rFonts w:cs="Arial"/>
          <w:i/>
          <w:iCs/>
        </w:rPr>
        <w:t>For the first stage of our journey, our priorities are:</w:t>
      </w:r>
    </w:p>
    <w:p w14:paraId="2170E521" w14:textId="77777777" w:rsidR="008B4CAF" w:rsidRPr="001B4123" w:rsidRDefault="008B4CAF" w:rsidP="008B4CAF">
      <w:pPr>
        <w:pStyle w:val="ListParagraph"/>
        <w:numPr>
          <w:ilvl w:val="0"/>
          <w:numId w:val="30"/>
        </w:numPr>
        <w:spacing w:before="0" w:after="120"/>
        <w:ind w:left="714" w:hanging="357"/>
        <w:rPr>
          <w:rFonts w:cs="Arial"/>
          <w:lang w:val="en-NZ"/>
        </w:rPr>
      </w:pPr>
      <w:r w:rsidRPr="001B4123">
        <w:rPr>
          <w:rFonts w:cs="Arial"/>
          <w:lang w:val="en-NZ"/>
        </w:rPr>
        <w:t>Mana ōrite: working to achieve equitable outcomes for Māori in how we invest in and work for the arts and ngā toi</w:t>
      </w:r>
    </w:p>
    <w:p w14:paraId="0312E54E" w14:textId="77777777" w:rsidR="008B4CAF" w:rsidRPr="001B4123" w:rsidRDefault="008B4CAF" w:rsidP="008B4CAF">
      <w:pPr>
        <w:pStyle w:val="ListParagraph"/>
        <w:numPr>
          <w:ilvl w:val="0"/>
          <w:numId w:val="30"/>
        </w:numPr>
        <w:spacing w:before="0" w:after="120"/>
        <w:ind w:left="714" w:hanging="357"/>
        <w:rPr>
          <w:rFonts w:cs="Arial"/>
          <w:lang w:val="en-NZ"/>
        </w:rPr>
      </w:pPr>
      <w:r w:rsidRPr="001B4123">
        <w:rPr>
          <w:rFonts w:cs="Arial"/>
          <w:lang w:val="en-NZ"/>
        </w:rPr>
        <w:t xml:space="preserve">Hononga: </w:t>
      </w:r>
      <w:r w:rsidRPr="001B4123">
        <w:rPr>
          <w:lang w:val="en-NZ"/>
        </w:rPr>
        <w:t>maintaining</w:t>
      </w:r>
      <w:r w:rsidRPr="001B4123">
        <w:rPr>
          <w:rFonts w:cs="Arial"/>
          <w:lang w:val="en-NZ"/>
        </w:rPr>
        <w:t xml:space="preserve"> and developing strong relationships with tangata whenua, mātanga, ringatoi, Māori-led arts organisations, marae, hapū and iwi, to support and protect ngā toi as a taonga for future generations</w:t>
      </w:r>
    </w:p>
    <w:p w14:paraId="06F38B4D" w14:textId="77777777" w:rsidR="008B4CAF" w:rsidRPr="001B4123" w:rsidRDefault="008B4CAF" w:rsidP="008B4CAF">
      <w:pPr>
        <w:pStyle w:val="ListParagraph"/>
        <w:numPr>
          <w:ilvl w:val="0"/>
          <w:numId w:val="30"/>
        </w:numPr>
        <w:spacing w:before="0" w:after="120"/>
        <w:ind w:left="714" w:hanging="357"/>
        <w:rPr>
          <w:rFonts w:cs="Arial"/>
          <w:lang w:val="en-NZ"/>
        </w:rPr>
      </w:pPr>
      <w:r w:rsidRPr="001B4123">
        <w:rPr>
          <w:rFonts w:cs="Arial"/>
          <w:lang w:val="en-NZ"/>
        </w:rPr>
        <w:lastRenderedPageBreak/>
        <w:t xml:space="preserve">Tautīnei: </w:t>
      </w:r>
      <w:r w:rsidRPr="001B4123">
        <w:rPr>
          <w:lang w:val="en-NZ"/>
        </w:rPr>
        <w:t>developing</w:t>
      </w:r>
      <w:r w:rsidRPr="001B4123">
        <w:rPr>
          <w:rFonts w:cs="Arial"/>
          <w:lang w:val="en-NZ"/>
        </w:rPr>
        <w:t xml:space="preserve"> the infrastructure and leadership to enable ngā toi to flourish in Aotearoa New Zealand and globally.</w:t>
      </w:r>
    </w:p>
    <w:p w14:paraId="4833B1A9" w14:textId="77777777" w:rsidR="008B4CAF" w:rsidRPr="001C59FB" w:rsidRDefault="008B4CAF" w:rsidP="008B4CAF">
      <w:pPr>
        <w:pStyle w:val="Heading3"/>
        <w:spacing w:before="240"/>
        <w:rPr>
          <w:i/>
          <w:iCs/>
          <w:lang w:val="en-US"/>
        </w:rPr>
      </w:pPr>
      <w:r w:rsidRPr="001C59FB">
        <w:rPr>
          <w:i/>
          <w:iCs/>
          <w:lang w:val="en-US"/>
        </w:rPr>
        <w:t>Powerful and</w:t>
      </w:r>
      <w:r>
        <w:rPr>
          <w:i/>
          <w:iCs/>
          <w:lang w:val="en-US"/>
        </w:rPr>
        <w:t>s</w:t>
      </w:r>
      <w:r w:rsidRPr="001C59FB">
        <w:rPr>
          <w:i/>
          <w:iCs/>
          <w:lang w:val="en-US"/>
        </w:rPr>
        <w:t xml:space="preserve"> resilient Pacific arts, </w:t>
      </w:r>
      <w:r w:rsidRPr="001C59FB">
        <w:rPr>
          <w:lang w:val="en-US"/>
        </w:rPr>
        <w:t>led by enterprising and innovative Pasifika people, for</w:t>
      </w:r>
      <w:r>
        <w:rPr>
          <w:lang w:val="en-US"/>
        </w:rPr>
        <w:t xml:space="preserve"> </w:t>
      </w:r>
      <w:r w:rsidRPr="001C59FB">
        <w:rPr>
          <w:lang w:val="en-US"/>
        </w:rPr>
        <w:t>Aotearoa, Te Moana-nui-a-Kiwa and the world.</w:t>
      </w:r>
    </w:p>
    <w:p w14:paraId="02338312" w14:textId="77777777" w:rsidR="008B4CAF" w:rsidRPr="00F90935" w:rsidRDefault="008B4CAF" w:rsidP="008B4CAF">
      <w:pPr>
        <w:spacing w:before="240"/>
        <w:rPr>
          <w:i/>
          <w:iCs/>
          <w:color w:val="000000" w:themeColor="text1"/>
        </w:rPr>
      </w:pPr>
      <w:r w:rsidRPr="00F90935">
        <w:rPr>
          <w:i/>
          <w:iCs/>
          <w:color w:val="000000" w:themeColor="text1"/>
        </w:rPr>
        <w:t>For the first stage of our journey, our priorities are:</w:t>
      </w:r>
    </w:p>
    <w:p w14:paraId="0D37F633" w14:textId="77777777" w:rsidR="008B4CAF" w:rsidRPr="000E0326" w:rsidRDefault="008B4CAF" w:rsidP="008B4CAF">
      <w:pPr>
        <w:pStyle w:val="ListParagraph"/>
        <w:numPr>
          <w:ilvl w:val="0"/>
          <w:numId w:val="31"/>
        </w:numPr>
        <w:spacing w:before="0" w:after="120"/>
        <w:ind w:left="714" w:hanging="357"/>
        <w:rPr>
          <w:color w:val="000000" w:themeColor="text1"/>
          <w:lang w:val="en-NZ"/>
        </w:rPr>
      </w:pPr>
      <w:r w:rsidRPr="000E0326">
        <w:rPr>
          <w:color w:val="000000" w:themeColor="text1"/>
          <w:lang w:val="en-NZ"/>
        </w:rPr>
        <w:t>investing in Pacific arts to be bold and enterprising</w:t>
      </w:r>
    </w:p>
    <w:p w14:paraId="36ECBFE6" w14:textId="77777777" w:rsidR="008B4CAF" w:rsidRPr="000E0326" w:rsidRDefault="008B4CAF" w:rsidP="008B4CAF">
      <w:pPr>
        <w:pStyle w:val="ListParagraph"/>
        <w:numPr>
          <w:ilvl w:val="0"/>
          <w:numId w:val="31"/>
        </w:numPr>
        <w:spacing w:before="0" w:after="120"/>
        <w:ind w:left="714" w:hanging="357"/>
        <w:rPr>
          <w:color w:val="000000" w:themeColor="text1"/>
          <w:lang w:val="en-NZ"/>
        </w:rPr>
      </w:pPr>
      <w:r w:rsidRPr="000E0326">
        <w:rPr>
          <w:color w:val="000000" w:themeColor="text1"/>
          <w:lang w:val="en-NZ"/>
        </w:rPr>
        <w:t xml:space="preserve">supporting Pacific arts to be powerfully connected through resilient ecosystems of creative communities </w:t>
      </w:r>
    </w:p>
    <w:p w14:paraId="338A9BF5" w14:textId="77777777" w:rsidR="008B4CAF" w:rsidRPr="000E0326" w:rsidRDefault="008B4CAF" w:rsidP="008B4CAF">
      <w:pPr>
        <w:pStyle w:val="ListParagraph"/>
        <w:numPr>
          <w:ilvl w:val="0"/>
          <w:numId w:val="31"/>
        </w:numPr>
        <w:spacing w:before="0" w:after="120"/>
        <w:ind w:left="714" w:hanging="357"/>
        <w:rPr>
          <w:color w:val="000000" w:themeColor="text1"/>
          <w:lang w:val="en-NZ"/>
        </w:rPr>
      </w:pPr>
      <w:r w:rsidRPr="000E0326">
        <w:rPr>
          <w:color w:val="000000" w:themeColor="text1"/>
          <w:lang w:val="en-NZ"/>
        </w:rPr>
        <w:t>supporting Pacific arts to inspire and influence people everywhere</w:t>
      </w:r>
    </w:p>
    <w:p w14:paraId="678DE682" w14:textId="77777777" w:rsidR="008B4CAF" w:rsidRPr="001C59FB" w:rsidRDefault="008B4CAF" w:rsidP="008B4CAF">
      <w:pPr>
        <w:pStyle w:val="Heading3"/>
        <w:rPr>
          <w:lang w:val="en-US"/>
        </w:rPr>
      </w:pPr>
      <w:r w:rsidRPr="001C59FB">
        <w:rPr>
          <w:i/>
          <w:iCs/>
          <w:lang w:val="en-US"/>
        </w:rPr>
        <w:t xml:space="preserve">Inspired New Zealanders, </w:t>
      </w:r>
      <w:r w:rsidRPr="001C59FB">
        <w:rPr>
          <w:lang w:val="en-US"/>
        </w:rPr>
        <w:t>embracing the arts and ngā toi Māori every day.</w:t>
      </w:r>
    </w:p>
    <w:p w14:paraId="49D107A1" w14:textId="77777777" w:rsidR="008B4CAF" w:rsidRPr="00F90935" w:rsidRDefault="008B4CAF" w:rsidP="008B4CAF">
      <w:pPr>
        <w:rPr>
          <w:i/>
          <w:iCs/>
          <w:color w:val="000000" w:themeColor="text1"/>
        </w:rPr>
      </w:pPr>
      <w:r w:rsidRPr="00F90935">
        <w:rPr>
          <w:i/>
          <w:iCs/>
          <w:color w:val="000000" w:themeColor="text1"/>
        </w:rPr>
        <w:t>For the first stage of our journey, our priorities are:</w:t>
      </w:r>
    </w:p>
    <w:p w14:paraId="731E95BC" w14:textId="77777777" w:rsidR="008B4CAF" w:rsidRPr="00E21D70" w:rsidRDefault="008B4CAF" w:rsidP="008B4CAF">
      <w:pPr>
        <w:pStyle w:val="ListParagraph"/>
        <w:numPr>
          <w:ilvl w:val="0"/>
          <w:numId w:val="32"/>
        </w:numPr>
        <w:spacing w:before="0" w:after="120"/>
        <w:ind w:left="714" w:hanging="357"/>
        <w:rPr>
          <w:color w:val="000000" w:themeColor="text1"/>
          <w:lang w:val="en-NZ"/>
        </w:rPr>
      </w:pPr>
      <w:r w:rsidRPr="00E21D70">
        <w:rPr>
          <w:color w:val="000000" w:themeColor="text1"/>
          <w:lang w:val="en-NZ"/>
        </w:rPr>
        <w:t>shifting attitudes about the arts and ngā toi towards becoming more positive, and deepening engagement, including through storytelling that celebrates our unique arts and ngā toi</w:t>
      </w:r>
    </w:p>
    <w:p w14:paraId="77633CDD" w14:textId="77777777" w:rsidR="008B4CAF" w:rsidRPr="00E21D70" w:rsidRDefault="008B4CAF" w:rsidP="008B4CAF">
      <w:pPr>
        <w:pStyle w:val="ListParagraph"/>
        <w:numPr>
          <w:ilvl w:val="0"/>
          <w:numId w:val="32"/>
        </w:numPr>
        <w:spacing w:before="0" w:after="120"/>
        <w:ind w:left="714" w:hanging="357"/>
        <w:rPr>
          <w:color w:val="000000" w:themeColor="text1"/>
          <w:lang w:val="en-NZ"/>
        </w:rPr>
      </w:pPr>
      <w:r w:rsidRPr="00E21D70">
        <w:rPr>
          <w:color w:val="000000" w:themeColor="text1"/>
          <w:lang w:val="en-NZ"/>
        </w:rPr>
        <w:t>building the arts community’s capability to advocate on its own behalf and encouraging greater investment and engagement</w:t>
      </w:r>
    </w:p>
    <w:p w14:paraId="3522D5F5" w14:textId="77777777" w:rsidR="008B4CAF" w:rsidRPr="00E21D70" w:rsidRDefault="008B4CAF" w:rsidP="008B4CAF">
      <w:pPr>
        <w:pStyle w:val="ListParagraph"/>
        <w:numPr>
          <w:ilvl w:val="0"/>
          <w:numId w:val="32"/>
        </w:numPr>
        <w:spacing w:before="0" w:after="120"/>
        <w:ind w:left="714" w:hanging="357"/>
        <w:rPr>
          <w:color w:val="000000" w:themeColor="text1"/>
          <w:lang w:val="en-NZ"/>
        </w:rPr>
      </w:pPr>
      <w:r w:rsidRPr="00E21D70">
        <w:rPr>
          <w:color w:val="000000" w:themeColor="text1"/>
          <w:lang w:val="en-NZ"/>
        </w:rPr>
        <w:lastRenderedPageBreak/>
        <w:t>improving access to the arts and ngā toi, reducing barriers and building an inclusive environment for the arts in Aotearoa New Zealand.</w:t>
      </w:r>
    </w:p>
    <w:p w14:paraId="1476F298" w14:textId="77777777" w:rsidR="008B4CAF" w:rsidRDefault="008B4CAF" w:rsidP="008B4CAF">
      <w:pPr>
        <w:pStyle w:val="Heading3"/>
        <w:rPr>
          <w:lang w:val="en-US"/>
        </w:rPr>
      </w:pPr>
      <w:r w:rsidRPr="001C59FB">
        <w:rPr>
          <w:i/>
          <w:iCs/>
          <w:lang w:val="en-US"/>
        </w:rPr>
        <w:t xml:space="preserve">A valued arts development agency, </w:t>
      </w:r>
      <w:r w:rsidRPr="001C59FB">
        <w:rPr>
          <w:lang w:val="en-US"/>
        </w:rPr>
        <w:t>leading with impact and delivering for Aotearoa</w:t>
      </w:r>
      <w:r>
        <w:rPr>
          <w:lang w:val="en-US"/>
        </w:rPr>
        <w:br/>
      </w:r>
      <w:r w:rsidRPr="001C59FB">
        <w:rPr>
          <w:lang w:val="en-US"/>
        </w:rPr>
        <w:t>New</w:t>
      </w:r>
      <w:r>
        <w:rPr>
          <w:lang w:val="en-US"/>
        </w:rPr>
        <w:t xml:space="preserve"> </w:t>
      </w:r>
      <w:r w:rsidRPr="001C59FB">
        <w:rPr>
          <w:lang w:val="en-US"/>
        </w:rPr>
        <w:t>Zealand.</w:t>
      </w:r>
    </w:p>
    <w:p w14:paraId="32457BD9" w14:textId="77777777" w:rsidR="008B4CAF" w:rsidRPr="00694206" w:rsidRDefault="008B4CAF" w:rsidP="008B4CAF">
      <w:pPr>
        <w:rPr>
          <w:i/>
          <w:iCs/>
          <w:color w:val="000000" w:themeColor="text1"/>
        </w:rPr>
      </w:pPr>
      <w:r w:rsidRPr="00694206">
        <w:rPr>
          <w:i/>
          <w:iCs/>
          <w:color w:val="000000" w:themeColor="text1"/>
        </w:rPr>
        <w:t>For the first stage of our journey, our priorities are:</w:t>
      </w:r>
    </w:p>
    <w:p w14:paraId="2EAD0A60" w14:textId="77777777" w:rsidR="008B4CAF" w:rsidRPr="00E21D70" w:rsidRDefault="008B4CAF" w:rsidP="008B4CAF">
      <w:pPr>
        <w:pStyle w:val="ListParagraph"/>
        <w:numPr>
          <w:ilvl w:val="0"/>
          <w:numId w:val="33"/>
        </w:numPr>
        <w:spacing w:before="0" w:after="120"/>
        <w:ind w:left="714" w:hanging="357"/>
        <w:rPr>
          <w:color w:val="000000" w:themeColor="text1"/>
          <w:lang w:val="en-NZ"/>
        </w:rPr>
      </w:pPr>
      <w:r w:rsidRPr="00E21D70">
        <w:rPr>
          <w:color w:val="000000" w:themeColor="text1"/>
          <w:lang w:val="en-NZ"/>
        </w:rPr>
        <w:t xml:space="preserve">ensuring we’re optimally organised to achieve our long-term goals, respond to change and implement our Te Kaupapa o Toi Aotearoa principles across our work </w:t>
      </w:r>
    </w:p>
    <w:p w14:paraId="3F73D6D9" w14:textId="77777777" w:rsidR="008B4CAF" w:rsidRPr="00E21D70" w:rsidRDefault="008B4CAF" w:rsidP="008B4CAF">
      <w:pPr>
        <w:pStyle w:val="ListParagraph"/>
        <w:numPr>
          <w:ilvl w:val="0"/>
          <w:numId w:val="33"/>
        </w:numPr>
        <w:spacing w:before="0" w:after="120"/>
        <w:ind w:left="714" w:hanging="357"/>
        <w:rPr>
          <w:color w:val="000000" w:themeColor="text1"/>
          <w:lang w:val="en-NZ"/>
        </w:rPr>
      </w:pPr>
      <w:r w:rsidRPr="00E21D70">
        <w:rPr>
          <w:color w:val="000000" w:themeColor="text1"/>
          <w:lang w:val="en-NZ"/>
        </w:rPr>
        <w:t>working across the arts ecosystem to add value beyond funding</w:t>
      </w:r>
      <w:r>
        <w:rPr>
          <w:color w:val="000000" w:themeColor="text1"/>
          <w:lang w:val="en-NZ"/>
        </w:rPr>
        <w:t>—</w:t>
      </w:r>
      <w:r w:rsidRPr="00E21D70">
        <w:rPr>
          <w:color w:val="000000" w:themeColor="text1"/>
          <w:lang w:val="en-NZ"/>
        </w:rPr>
        <w:t>providing leadership and influencing the system to bring about the change we seek</w:t>
      </w:r>
    </w:p>
    <w:p w14:paraId="5A0611BB" w14:textId="77777777" w:rsidR="008B4CAF" w:rsidRPr="00E21D70" w:rsidRDefault="008B4CAF" w:rsidP="008B4CAF">
      <w:pPr>
        <w:pStyle w:val="ListParagraph"/>
        <w:numPr>
          <w:ilvl w:val="0"/>
          <w:numId w:val="33"/>
        </w:numPr>
        <w:spacing w:before="0" w:after="120"/>
        <w:ind w:left="714" w:hanging="357"/>
        <w:rPr>
          <w:color w:val="000000" w:themeColor="text1"/>
          <w:lang w:val="en-NZ"/>
        </w:rPr>
      </w:pPr>
      <w:r w:rsidRPr="00E21D70">
        <w:rPr>
          <w:color w:val="000000" w:themeColor="text1"/>
          <w:lang w:val="en-NZ"/>
        </w:rPr>
        <w:t>ensuring our systems support streamlined, accessible, people-centric processes, internally and externally.</w:t>
      </w:r>
    </w:p>
    <w:p w14:paraId="35E3170A" w14:textId="77777777" w:rsidR="008B4CAF" w:rsidRPr="00E51CAB" w:rsidRDefault="008B4CAF" w:rsidP="008B4CAF">
      <w:pPr>
        <w:pStyle w:val="Heading2"/>
      </w:pPr>
      <w:r w:rsidRPr="00E51CAB">
        <w:t>Toi Aotearoa, Our organisation</w:t>
      </w:r>
    </w:p>
    <w:p w14:paraId="63F7A7E2" w14:textId="77777777" w:rsidR="008B4CAF" w:rsidRPr="00E51CAB" w:rsidRDefault="008B4CAF" w:rsidP="008B4CAF">
      <w:r w:rsidRPr="00E51CAB">
        <w:t>Our organisation is powered by people with different skills and experiences coming together to carry out our work and achieve our goals.  We think of Creative New Zealand as a waka hourua, a traditional double-hulled sailing vessel used to navigate great distances.</w:t>
      </w:r>
    </w:p>
    <w:p w14:paraId="2EF06D5B" w14:textId="77777777" w:rsidR="008B4CAF" w:rsidRPr="00E51CAB" w:rsidRDefault="008B4CAF" w:rsidP="008B4CAF">
      <w:r w:rsidRPr="00E51CAB">
        <w:t xml:space="preserve">In the waka hourua, both hulls are essential – each has equal standing and is bound to the other, and there’s much </w:t>
      </w:r>
      <w:r w:rsidRPr="00E51CAB">
        <w:lastRenderedPageBreak/>
        <w:t>to be gained from exploring our differences in the papa noho (the space between hulls). This also applies to how we work with others; recognising our different perspectives and approaches but working together to reach the best outcomes for all.</w:t>
      </w:r>
    </w:p>
    <w:p w14:paraId="58A0173F" w14:textId="77777777" w:rsidR="008B4CAF" w:rsidRPr="00184379" w:rsidRDefault="008B4CAF" w:rsidP="008B4CAF">
      <w:pPr>
        <w:pStyle w:val="Heading3"/>
        <w:spacing w:before="240"/>
      </w:pPr>
      <w:r w:rsidRPr="00184379">
        <w:t>Ngā tāngata, our people</w:t>
      </w:r>
    </w:p>
    <w:p w14:paraId="10A8A7E7" w14:textId="77777777" w:rsidR="008B4CAF" w:rsidRDefault="008B4CAF" w:rsidP="008B4CAF">
      <w:r>
        <w:t>Our people</w:t>
      </w:r>
      <w:r w:rsidRPr="0050731E">
        <w:t xml:space="preserve"> </w:t>
      </w:r>
      <w:r w:rsidRPr="00207875">
        <w:t>guide our work. They have a deep commitment to the arts and ngā toi Māori, and to making a meaningful difference to people’s lives.</w:t>
      </w:r>
    </w:p>
    <w:p w14:paraId="313DFE7E" w14:textId="77777777" w:rsidR="008B4CAF" w:rsidRPr="00184379" w:rsidRDefault="008B4CAF" w:rsidP="008B4CAF">
      <w:pPr>
        <w:pStyle w:val="Heading3"/>
        <w:spacing w:before="240"/>
      </w:pPr>
      <w:r w:rsidRPr="00184379">
        <w:t>Our values, ngā whanonga pono</w:t>
      </w:r>
    </w:p>
    <w:p w14:paraId="3258FCBE" w14:textId="77777777" w:rsidR="008B4CAF" w:rsidRDefault="008B4CAF" w:rsidP="008B4CAF">
      <w:pPr>
        <w:spacing w:before="240"/>
      </w:pPr>
      <w:r>
        <w:t>Our values reflect how we work—with each other, with the arts community and beyond.</w:t>
      </w:r>
    </w:p>
    <w:p w14:paraId="1AE4DE1E" w14:textId="77777777" w:rsidR="008B4CAF" w:rsidRPr="00D00A27" w:rsidRDefault="008B4CAF" w:rsidP="008B4CAF">
      <w:pPr>
        <w:pStyle w:val="ListParagraph"/>
        <w:numPr>
          <w:ilvl w:val="0"/>
          <w:numId w:val="34"/>
        </w:numPr>
        <w:spacing w:before="0" w:after="120"/>
        <w:ind w:left="714" w:hanging="357"/>
      </w:pPr>
      <w:r w:rsidRPr="00E51CAB">
        <w:rPr>
          <w:b/>
          <w:bCs/>
        </w:rPr>
        <w:t>Āwhinatia, Strengthen and support:</w:t>
      </w:r>
      <w:r w:rsidRPr="00D00A27">
        <w:t xml:space="preserve"> We’re </w:t>
      </w:r>
      <w:r w:rsidRPr="00E51CAB">
        <w:rPr>
          <w:rFonts w:cs="Arial"/>
          <w:lang w:val="en-NZ"/>
        </w:rPr>
        <w:t>inclusive</w:t>
      </w:r>
      <w:r w:rsidRPr="00D00A27">
        <w:t xml:space="preserve"> and supportive, we’re responsible and accountable for the things we do, and we act with </w:t>
      </w:r>
      <w:r w:rsidRPr="00D00A27" w:rsidDel="00DF7C9F">
        <w:t>integrity</w:t>
      </w:r>
      <w:r w:rsidRPr="00D00A27">
        <w:t>.</w:t>
      </w:r>
    </w:p>
    <w:p w14:paraId="5929D740" w14:textId="77777777" w:rsidR="008B4CAF" w:rsidRPr="00D00A27" w:rsidRDefault="008B4CAF" w:rsidP="008B4CAF">
      <w:pPr>
        <w:pStyle w:val="ListParagraph"/>
        <w:numPr>
          <w:ilvl w:val="0"/>
          <w:numId w:val="34"/>
        </w:numPr>
        <w:spacing w:before="0" w:after="120"/>
        <w:ind w:left="714" w:hanging="357"/>
      </w:pPr>
      <w:r w:rsidRPr="00E51CAB">
        <w:rPr>
          <w:b/>
          <w:bCs/>
        </w:rPr>
        <w:t>Honotia, Connect and grow:</w:t>
      </w:r>
      <w:r w:rsidRPr="00D00A27">
        <w:t xml:space="preserve"> We foster a </w:t>
      </w:r>
      <w:r w:rsidRPr="00E51CAB">
        <w:rPr>
          <w:rFonts w:cs="Arial"/>
          <w:lang w:val="en-NZ"/>
        </w:rPr>
        <w:t>culture</w:t>
      </w:r>
      <w:r w:rsidRPr="00D00A27">
        <w:t xml:space="preserve"> of collaboration, respect and connection, with each other and those we work with.</w:t>
      </w:r>
    </w:p>
    <w:p w14:paraId="35338E7D" w14:textId="77777777" w:rsidR="008B4CAF" w:rsidRPr="00D00A27" w:rsidRDefault="008B4CAF" w:rsidP="008B4CAF">
      <w:pPr>
        <w:pStyle w:val="ListParagraph"/>
        <w:numPr>
          <w:ilvl w:val="0"/>
          <w:numId w:val="34"/>
        </w:numPr>
        <w:spacing w:before="0" w:after="120"/>
        <w:ind w:left="714" w:hanging="357"/>
      </w:pPr>
      <w:r w:rsidRPr="00E51CAB">
        <w:rPr>
          <w:b/>
          <w:bCs/>
        </w:rPr>
        <w:t>Māiatia, Have courage and confidence:</w:t>
      </w:r>
      <w:r w:rsidRPr="00D00A27">
        <w:t xml:space="preserve"> We </w:t>
      </w:r>
      <w:r w:rsidRPr="00E51CAB">
        <w:rPr>
          <w:rFonts w:cs="Arial"/>
          <w:lang w:val="en-NZ"/>
        </w:rPr>
        <w:t>stand</w:t>
      </w:r>
      <w:r w:rsidRPr="00D00A27">
        <w:t xml:space="preserve"> tall, strive for excellence and embrace the future with optimism.</w:t>
      </w:r>
    </w:p>
    <w:p w14:paraId="15EE1BE4" w14:textId="77777777" w:rsidR="008B4CAF" w:rsidRDefault="008B4CAF" w:rsidP="008B4CAF">
      <w:pPr>
        <w:spacing w:before="0" w:after="0"/>
        <w:rPr>
          <w:rFonts w:cs="Arial"/>
          <w:b/>
          <w:bCs/>
          <w:sz w:val="44"/>
          <w:szCs w:val="26"/>
        </w:rPr>
      </w:pPr>
      <w:r>
        <w:br w:type="page"/>
      </w:r>
    </w:p>
    <w:p w14:paraId="6AB0C26E" w14:textId="77777777" w:rsidR="008B4CAF" w:rsidRPr="00184379" w:rsidRDefault="008B4CAF" w:rsidP="008B4CAF">
      <w:pPr>
        <w:pStyle w:val="Heading3"/>
      </w:pPr>
      <w:r w:rsidRPr="00BD31F2">
        <w:lastRenderedPageBreak/>
        <w:t>Ngā</w:t>
      </w:r>
      <w:r w:rsidRPr="00184379">
        <w:t xml:space="preserve"> mahi, our work</w:t>
      </w:r>
    </w:p>
    <w:p w14:paraId="1A1FF68A" w14:textId="77777777" w:rsidR="008B4CAF" w:rsidRDefault="008B4CAF" w:rsidP="008B4CAF">
      <w:r w:rsidRPr="001F4F36">
        <w:t>Our work</w:t>
      </w:r>
      <w:r>
        <w:rPr>
          <w:sz w:val="30"/>
          <w:szCs w:val="30"/>
        </w:rPr>
        <w:t xml:space="preserve"> </w:t>
      </w:r>
      <w:r w:rsidRPr="00B4655D">
        <w:t>directly supports the arts community. As the national arts development agency, we’re part of this community too. Since 1994, we’ve invested over $1.6 billion, helping our artistic, cultural and creative landscape to flourish.</w:t>
      </w:r>
    </w:p>
    <w:p w14:paraId="5741DA48" w14:textId="77777777" w:rsidR="008B4CAF" w:rsidRPr="00B4655D" w:rsidRDefault="008B4CAF" w:rsidP="008B4CAF">
      <w:r w:rsidRPr="00B4655D">
        <w:t>The resources we have determine what we’re able to achieve. Around three-quarters of our public funding comes from the New Zealand Lottery Grants Board Te Puna Tahua, with the rest coming from government.</w:t>
      </w:r>
    </w:p>
    <w:p w14:paraId="145FE74F" w14:textId="77777777" w:rsidR="008B4CAF" w:rsidRDefault="008B4CAF" w:rsidP="008B4CAF">
      <w:r w:rsidRPr="00B4655D">
        <w:t>New Zealanders support public funding of the arts and ngā toi Māori, and this support is growing over time.</w:t>
      </w:r>
    </w:p>
    <w:p w14:paraId="3E396B6F" w14:textId="77777777" w:rsidR="008B4CAF" w:rsidRPr="00184379" w:rsidRDefault="008B4CAF" w:rsidP="008B4CAF">
      <w:pPr>
        <w:pStyle w:val="Heading3"/>
      </w:pPr>
      <w:r w:rsidRPr="00184379">
        <w:t xml:space="preserve">Te </w:t>
      </w:r>
      <w:r w:rsidRPr="00BD31F2">
        <w:t>huarahi</w:t>
      </w:r>
      <w:r w:rsidRPr="00184379">
        <w:t>, our approach</w:t>
      </w:r>
    </w:p>
    <w:p w14:paraId="3BDB61D5" w14:textId="77777777" w:rsidR="008B4CAF" w:rsidRPr="00AE01EB" w:rsidRDefault="008B4CAF" w:rsidP="008B4CAF">
      <w:r w:rsidRPr="00AE01EB">
        <w:t>Consistent with the waka hourua, we embrace a ‘by, with and for’ approach, involving the arts community and others in our policy, programme design and decision-making work. This supports our aim of empowering communities to determine their own futures</w:t>
      </w:r>
      <w:r>
        <w:t>—</w:t>
      </w:r>
      <w:r w:rsidRPr="00AE01EB">
        <w:rPr>
          <w:b/>
          <w:bCs/>
        </w:rPr>
        <w:t xml:space="preserve">tuku rauemi </w:t>
      </w:r>
      <w:r w:rsidRPr="00AE01EB">
        <w:t>(handing over resources).</w:t>
      </w:r>
    </w:p>
    <w:p w14:paraId="6A45006B" w14:textId="77777777" w:rsidR="008B4CAF" w:rsidRPr="00AE01EB" w:rsidRDefault="008B4CAF" w:rsidP="008B4CAF">
      <w:r w:rsidRPr="00AE01EB">
        <w:t>A reciprocal approach lifts the impact of our work and is more rewarding for us and the arts community</w:t>
      </w:r>
      <w:r>
        <w:t>—</w:t>
      </w:r>
      <w:r w:rsidRPr="00AE01EB">
        <w:rPr>
          <w:b/>
          <w:bCs/>
        </w:rPr>
        <w:t xml:space="preserve">mana aki i te tangata </w:t>
      </w:r>
      <w:r w:rsidRPr="00AE01EB">
        <w:t xml:space="preserve">(lifting up the mana of the people). In this spirit, we uphold the mana of Te Tiriti o </w:t>
      </w:r>
      <w:r>
        <w:br/>
      </w:r>
      <w:r w:rsidRPr="00AE01EB">
        <w:t>Waitangi</w:t>
      </w:r>
      <w:r>
        <w:t>—</w:t>
      </w:r>
      <w:r w:rsidRPr="00AE01EB">
        <w:rPr>
          <w:b/>
          <w:bCs/>
        </w:rPr>
        <w:t xml:space="preserve">whakamana i Te Tiriti. </w:t>
      </w:r>
      <w:r w:rsidRPr="00AE01EB">
        <w:t xml:space="preserve">We see Te Tiriti as a </w:t>
      </w:r>
      <w:r w:rsidRPr="00AE01EB">
        <w:lastRenderedPageBreak/>
        <w:t>foundation for all people who call Aotearoa New</w:t>
      </w:r>
      <w:r>
        <w:t xml:space="preserve"> </w:t>
      </w:r>
      <w:r w:rsidRPr="00AE01EB">
        <w:t>Zealand</w:t>
      </w:r>
      <w:r>
        <w:br/>
      </w:r>
      <w:r w:rsidRPr="00AE01EB">
        <w:t>home</w:t>
      </w:r>
      <w:r>
        <w:t>—</w:t>
      </w:r>
      <w:r w:rsidRPr="00AE01EB">
        <w:t>tangata whenua and tangata Tiriti</w:t>
      </w:r>
      <w:r>
        <w:t>—</w:t>
      </w:r>
      <w:r w:rsidRPr="00AE01EB">
        <w:t>and as a Te Tiriti implementing organisation, it’s central to the way we work and what we do.</w:t>
      </w:r>
    </w:p>
    <w:p w14:paraId="742DF31E" w14:textId="77777777" w:rsidR="008B4CAF" w:rsidRPr="00D00A27" w:rsidRDefault="008B4CAF" w:rsidP="008B4CAF">
      <w:r w:rsidRPr="00AE01EB">
        <w:t xml:space="preserve">Our Act sets out the principles we operate under. Along with </w:t>
      </w:r>
      <w:r w:rsidRPr="00AE01EB">
        <w:rPr>
          <w:b/>
          <w:bCs/>
        </w:rPr>
        <w:t xml:space="preserve">recognising in the arts the role of Māori as tangata whenua, </w:t>
      </w:r>
      <w:r w:rsidRPr="00AE01EB">
        <w:t xml:space="preserve">we </w:t>
      </w:r>
      <w:r w:rsidRPr="00AE01EB">
        <w:rPr>
          <w:b/>
          <w:bCs/>
        </w:rPr>
        <w:t xml:space="preserve">recognise Pacific arts </w:t>
      </w:r>
      <w:r w:rsidRPr="00AE01EB">
        <w:t xml:space="preserve">(‘the arts of the Pacific Island peoples of New Zealand’) and the </w:t>
      </w:r>
      <w:r w:rsidRPr="00AE01EB">
        <w:rPr>
          <w:b/>
          <w:bCs/>
        </w:rPr>
        <w:t>cultural diversity of the people of New Zealand</w:t>
      </w:r>
      <w:r w:rsidRPr="00AE01EB">
        <w:t xml:space="preserve">. Our Act also has principles around </w:t>
      </w:r>
      <w:r w:rsidRPr="00AE01EB">
        <w:rPr>
          <w:b/>
          <w:bCs/>
        </w:rPr>
        <w:t xml:space="preserve">participation, access, excellence and innovation, professionalism, </w:t>
      </w:r>
      <w:r w:rsidRPr="00AE01EB">
        <w:t xml:space="preserve">and </w:t>
      </w:r>
      <w:r w:rsidRPr="00AE01EB">
        <w:rPr>
          <w:b/>
          <w:bCs/>
        </w:rPr>
        <w:t>advocacy</w:t>
      </w:r>
      <w:r w:rsidRPr="00AE01EB">
        <w:t>.</w:t>
      </w:r>
    </w:p>
    <w:p w14:paraId="21D4B578" w14:textId="77777777" w:rsidR="008B4CAF" w:rsidRPr="0025514D" w:rsidRDefault="008B4CAF" w:rsidP="008B4CAF">
      <w:pPr>
        <w:pStyle w:val="Heading3"/>
      </w:pPr>
      <w:r w:rsidRPr="0025514D">
        <w:t>Ngā tūāpapa, Our foundations</w:t>
      </w:r>
    </w:p>
    <w:p w14:paraId="784281E6" w14:textId="77777777" w:rsidR="008B4CAF" w:rsidRDefault="008B4CAF" w:rsidP="008B4CAF">
      <w:r w:rsidRPr="006C3F87">
        <w:t>Ngā tūāpapa, our foundations,</w:t>
      </w:r>
      <w:r w:rsidRPr="00691D8C">
        <w:rPr>
          <w:b/>
          <w:bCs/>
        </w:rPr>
        <w:t xml:space="preserve"> </w:t>
      </w:r>
      <w:r w:rsidRPr="00691D8C">
        <w:t>are strong and enduring, giving us the mandate to do what we do.</w:t>
      </w:r>
    </w:p>
    <w:p w14:paraId="2A7E556F" w14:textId="77777777" w:rsidR="008B4CAF" w:rsidRDefault="008B4CAF" w:rsidP="008B4CAF">
      <w:r w:rsidRPr="00691D8C">
        <w:rPr>
          <w:i/>
          <w:iCs/>
        </w:rPr>
        <w:t>Our whakapapa</w:t>
      </w:r>
      <w:r w:rsidRPr="00691D8C">
        <w:rPr>
          <w:b/>
          <w:bCs/>
        </w:rPr>
        <w:t xml:space="preserve"> </w:t>
      </w:r>
      <w:r w:rsidRPr="00691D8C">
        <w:t>dates back to 1964 and our establishment as the Queen Elizabeth II Arts Council.</w:t>
      </w:r>
    </w:p>
    <w:p w14:paraId="4BA046FC" w14:textId="77777777" w:rsidR="008B4CAF" w:rsidRPr="0025514D" w:rsidRDefault="008B4CAF" w:rsidP="008B4CAF">
      <w:pPr>
        <w:pStyle w:val="Heading3"/>
      </w:pPr>
      <w:r w:rsidRPr="0025514D">
        <w:t>Te pūtake, Our purpose</w:t>
      </w:r>
    </w:p>
    <w:p w14:paraId="5ED00C35" w14:textId="77777777" w:rsidR="008B4CAF" w:rsidRDefault="008B4CAF" w:rsidP="008B4CAF">
      <w:pPr>
        <w:spacing w:before="240"/>
      </w:pPr>
      <w:r>
        <w:t>Our purpose is set out in the Arts Council of New Zealand Toi Aotearoa Act 2014. We’re here to</w:t>
      </w:r>
      <w:r w:rsidRPr="00691D8C">
        <w:t>:</w:t>
      </w:r>
    </w:p>
    <w:p w14:paraId="6E714536" w14:textId="16AE92E9" w:rsidR="008B4CAF" w:rsidRPr="008B4CAF" w:rsidRDefault="008B4CAF" w:rsidP="008B4CAF">
      <w:pPr>
        <w:pStyle w:val="Heading4"/>
        <w:rPr>
          <w:sz w:val="40"/>
          <w:szCs w:val="40"/>
          <w:lang w:val="en-NZ"/>
        </w:rPr>
      </w:pPr>
      <w:r w:rsidRPr="008B4CAF">
        <w:rPr>
          <w:sz w:val="40"/>
          <w:szCs w:val="40"/>
        </w:rPr>
        <w:t>Encourage, promote and support the arts in New Zealand for the benefit of all New Zealanders.</w:t>
      </w:r>
    </w:p>
    <w:p w14:paraId="0A792168" w14:textId="77777777" w:rsidR="008B4CAF" w:rsidRPr="006A3122" w:rsidRDefault="008B4CAF" w:rsidP="008B4CAF">
      <w:r w:rsidRPr="006A3122">
        <w:rPr>
          <w:b/>
          <w:bCs/>
        </w:rPr>
        <w:t xml:space="preserve">To encourage, promote and support: </w:t>
      </w:r>
      <w:r w:rsidRPr="006A3122">
        <w:t xml:space="preserve">These words span the range of our work, helping the arts and ngā toi Māori, </w:t>
      </w:r>
      <w:r w:rsidRPr="006A3122">
        <w:lastRenderedPageBreak/>
        <w:t>artists, ringatoi and practitioners, and arts communities thrive.</w:t>
      </w:r>
    </w:p>
    <w:p w14:paraId="64033EC3" w14:textId="77777777" w:rsidR="008B4CAF" w:rsidRPr="006A3122" w:rsidRDefault="008B4CAF" w:rsidP="008B4CAF">
      <w:r w:rsidRPr="006A3122">
        <w:rPr>
          <w:b/>
          <w:bCs/>
        </w:rPr>
        <w:t>…</w:t>
      </w:r>
      <w:r>
        <w:rPr>
          <w:b/>
          <w:bCs/>
        </w:rPr>
        <w:t xml:space="preserve"> </w:t>
      </w:r>
      <w:r w:rsidRPr="006A3122">
        <w:rPr>
          <w:b/>
          <w:bCs/>
        </w:rPr>
        <w:t xml:space="preserve">the arts in New Zealand: </w:t>
      </w:r>
      <w:r w:rsidRPr="006A3122">
        <w:t xml:space="preserve">Under our Act, </w:t>
      </w:r>
      <w:r>
        <w:t>"</w:t>
      </w:r>
      <w:r w:rsidRPr="006A3122">
        <w:t>the arts</w:t>
      </w:r>
      <w:r>
        <w:t>"</w:t>
      </w:r>
      <w:r w:rsidRPr="006A3122">
        <w:t xml:space="preserve"> includes all forms of creative and interpr</w:t>
      </w:r>
      <w:r>
        <w:t>et</w:t>
      </w:r>
      <w:r w:rsidRPr="006A3122">
        <w:t>ative expression. In our work, we often talk about the arts in terms of the artforms and genres we’re able to support, including craft and object art, dance, literature, multidisciplinary arts, music and opera, theatre, and visual arts. We also use broader terms like ngā toi Māori, Pacific arts and the arts of the diverse cultures of New Zealand.</w:t>
      </w:r>
    </w:p>
    <w:p w14:paraId="6B8BB094" w14:textId="77777777" w:rsidR="008B4CAF" w:rsidRPr="006A3122" w:rsidRDefault="008B4CAF" w:rsidP="008B4CAF">
      <w:r w:rsidRPr="006A3122">
        <w:t>The arts are always changing, and traditional definitions and boundaries continue to shift. Arts, culture, creativity and ngā toi will no doubt be as exciting and distinct in 2040 as they are to those of today.</w:t>
      </w:r>
    </w:p>
    <w:p w14:paraId="690213A0" w14:textId="77777777" w:rsidR="008B4CAF" w:rsidRDefault="008B4CAF" w:rsidP="008B4CAF">
      <w:r w:rsidRPr="006A3122">
        <w:rPr>
          <w:b/>
          <w:bCs/>
        </w:rPr>
        <w:t>…</w:t>
      </w:r>
      <w:r>
        <w:rPr>
          <w:b/>
          <w:bCs/>
        </w:rPr>
        <w:t xml:space="preserve"> </w:t>
      </w:r>
      <w:r w:rsidRPr="006A3122">
        <w:rPr>
          <w:b/>
          <w:bCs/>
        </w:rPr>
        <w:t xml:space="preserve">for the benefit of all New Zealanders: </w:t>
      </w:r>
      <w:r w:rsidRPr="006A3122">
        <w:t xml:space="preserve">The arts and ngā toi bring a wide range of benefits to people’s </w:t>
      </w:r>
      <w:r>
        <w:br/>
      </w:r>
      <w:r w:rsidRPr="006A3122">
        <w:t>lives</w:t>
      </w:r>
      <w:r>
        <w:t>—</w:t>
      </w:r>
      <w:r w:rsidRPr="006A3122">
        <w:t>from the benefits to those who create and present the arts, through to those who engage with and appreciate the arts. These include boosting physical and mental wellbeing, connecting whānau and communities, growing careers and the economy, and building our identity and global reputation.</w:t>
      </w:r>
    </w:p>
    <w:p w14:paraId="0FB7D6B1" w14:textId="77777777" w:rsidR="008B4CAF" w:rsidRDefault="008B4CAF" w:rsidP="008B4CAF">
      <w:pPr>
        <w:rPr>
          <w:b/>
          <w:bCs/>
        </w:rPr>
      </w:pPr>
      <w:r>
        <w:rPr>
          <w:b/>
          <w:bCs/>
        </w:rPr>
        <w:t>To read the full</w:t>
      </w:r>
      <w:r w:rsidRPr="0006297E">
        <w:rPr>
          <w:b/>
          <w:bCs/>
        </w:rPr>
        <w:t xml:space="preserve"> strategy</w:t>
      </w:r>
      <w:r>
        <w:rPr>
          <w:b/>
          <w:bCs/>
        </w:rPr>
        <w:t>, visit</w:t>
      </w:r>
      <w:r w:rsidRPr="0006297E">
        <w:rPr>
          <w:b/>
          <w:bCs/>
        </w:rPr>
        <w:t xml:space="preserve"> </w:t>
      </w:r>
      <w:hyperlink r:id="rId16" w:history="1">
        <w:r w:rsidRPr="0025514D">
          <w:rPr>
            <w:rStyle w:val="Hyperlink"/>
            <w:rFonts w:cs="Arial"/>
            <w:szCs w:val="36"/>
          </w:rPr>
          <w:t>www.creativenz.govt.nz/tumaira</w:t>
        </w:r>
      </w:hyperlink>
    </w:p>
    <w:p w14:paraId="1AB3F78E" w14:textId="77777777" w:rsidR="008B4CAF" w:rsidRPr="0025514D" w:rsidRDefault="008B4CAF" w:rsidP="008B4CAF">
      <w:pPr>
        <w:pStyle w:val="Heading2"/>
      </w:pPr>
      <w:bookmarkStart w:id="3" w:name="_Toc224770484"/>
      <w:r w:rsidRPr="0025514D">
        <w:lastRenderedPageBreak/>
        <w:t>Tū Mai Rā, Toi Aotearoa</w:t>
      </w:r>
      <w:bookmarkEnd w:id="3"/>
    </w:p>
    <w:p w14:paraId="052CBF5B" w14:textId="77777777" w:rsidR="008B4CAF" w:rsidRPr="00D00A27" w:rsidRDefault="008B4CAF" w:rsidP="008B4CAF">
      <w:pPr>
        <w:spacing w:before="240"/>
      </w:pPr>
      <w:r w:rsidRPr="00D00A27">
        <w:t>Tū mai rā, Toi Aotearoa</w:t>
      </w:r>
    </w:p>
    <w:p w14:paraId="20B5C573" w14:textId="77777777" w:rsidR="008B4CAF" w:rsidRPr="00D00A27" w:rsidRDefault="008B4CAF" w:rsidP="008B4CAF">
      <w:pPr>
        <w:spacing w:before="240"/>
      </w:pPr>
      <w:r w:rsidRPr="00D00A27">
        <w:t>ki te ao hurihuri,</w:t>
      </w:r>
    </w:p>
    <w:p w14:paraId="786499E0" w14:textId="77777777" w:rsidR="008B4CAF" w:rsidRPr="00D00A27" w:rsidRDefault="008B4CAF" w:rsidP="008B4CAF">
      <w:r w:rsidRPr="00D00A27">
        <w:t>hahana atu,</w:t>
      </w:r>
    </w:p>
    <w:p w14:paraId="4670230E" w14:textId="77777777" w:rsidR="008B4CAF" w:rsidRPr="00D00A27" w:rsidRDefault="008B4CAF" w:rsidP="008B4CAF">
      <w:r w:rsidRPr="00D00A27">
        <w:t>whakaniko tōku whare kōrero.</w:t>
      </w:r>
    </w:p>
    <w:p w14:paraId="56FDB384" w14:textId="77777777" w:rsidR="008B4CAF" w:rsidRPr="00D00A27" w:rsidRDefault="008B4CAF" w:rsidP="008B4CAF">
      <w:r w:rsidRPr="00D00A27">
        <w:t>Ko Tāne manahau</w:t>
      </w:r>
    </w:p>
    <w:p w14:paraId="5DDCAA37" w14:textId="77777777" w:rsidR="008B4CAF" w:rsidRPr="00D00A27" w:rsidRDefault="008B4CAF" w:rsidP="008B4CAF">
      <w:r w:rsidRPr="00D00A27">
        <w:t>i te kete aronui,</w:t>
      </w:r>
    </w:p>
    <w:p w14:paraId="757AE2F5" w14:textId="77777777" w:rsidR="008B4CAF" w:rsidRPr="00D00A27" w:rsidRDefault="008B4CAF" w:rsidP="008B4CAF">
      <w:r w:rsidRPr="00D00A27">
        <w:t>whātoro te whanaketanga</w:t>
      </w:r>
    </w:p>
    <w:p w14:paraId="0661CF30" w14:textId="77777777" w:rsidR="008B4CAF" w:rsidRPr="00D00A27" w:rsidRDefault="008B4CAF" w:rsidP="008B4CAF">
      <w:r w:rsidRPr="00D00A27">
        <w:t>ki te hononga tīpuna.</w:t>
      </w:r>
    </w:p>
    <w:p w14:paraId="7156136A" w14:textId="77777777" w:rsidR="008B4CAF" w:rsidRPr="00D00A27" w:rsidRDefault="008B4CAF" w:rsidP="008B4CAF">
      <w:r w:rsidRPr="00D00A27">
        <w:t>Uruuru ki te māiatanga</w:t>
      </w:r>
    </w:p>
    <w:p w14:paraId="0E33C571" w14:textId="77777777" w:rsidR="008B4CAF" w:rsidRPr="00D00A27" w:rsidRDefault="008B4CAF" w:rsidP="008B4CAF">
      <w:r w:rsidRPr="00D00A27">
        <w:t>mō ngā hapori,</w:t>
      </w:r>
    </w:p>
    <w:p w14:paraId="732A444F" w14:textId="77777777" w:rsidR="008B4CAF" w:rsidRPr="00D00A27" w:rsidRDefault="008B4CAF" w:rsidP="008B4CAF">
      <w:r w:rsidRPr="00D00A27">
        <w:t>whakamaua, whakamaua kia tina</w:t>
      </w:r>
    </w:p>
    <w:p w14:paraId="378B76BF" w14:textId="77777777" w:rsidR="008B4CAF" w:rsidRPr="00D00A27" w:rsidRDefault="008B4CAF" w:rsidP="008B4CAF">
      <w:r w:rsidRPr="00D00A27">
        <w:t>i ngā whakaritenga,</w:t>
      </w:r>
    </w:p>
    <w:p w14:paraId="7C575486" w14:textId="77777777" w:rsidR="008B4CAF" w:rsidRPr="00D00A27" w:rsidRDefault="008B4CAF" w:rsidP="008B4CAF">
      <w:r w:rsidRPr="00D00A27">
        <w:t>te āwhina me te akina,</w:t>
      </w:r>
    </w:p>
    <w:p w14:paraId="3D52A266" w14:textId="77777777" w:rsidR="008B4CAF" w:rsidRDefault="008B4CAF" w:rsidP="008B4CAF">
      <w:r w:rsidRPr="00D00A27">
        <w:t>ki te hononga, hononga whenua</w:t>
      </w:r>
      <w:r>
        <w:t>.</w:t>
      </w:r>
    </w:p>
    <w:p w14:paraId="262CF780" w14:textId="77777777" w:rsidR="008B4CAF" w:rsidRDefault="008B4CAF" w:rsidP="008B4CAF"/>
    <w:p w14:paraId="261FB82D" w14:textId="77777777" w:rsidR="008B4CAF" w:rsidRPr="00D00A27" w:rsidRDefault="008B4CAF" w:rsidP="008B4CAF">
      <w:r w:rsidRPr="00D00A27">
        <w:t>Stand proudly, Toi Aotearoa</w:t>
      </w:r>
    </w:p>
    <w:p w14:paraId="29E9658C" w14:textId="77777777" w:rsidR="008B4CAF" w:rsidRPr="00D00A27" w:rsidRDefault="008B4CAF" w:rsidP="008B4CAF">
      <w:r w:rsidRPr="00D00A27">
        <w:t>in this ever-changing world,</w:t>
      </w:r>
    </w:p>
    <w:p w14:paraId="79E98578" w14:textId="77777777" w:rsidR="008B4CAF" w:rsidRPr="00D00A27" w:rsidRDefault="008B4CAF" w:rsidP="008B4CAF">
      <w:r w:rsidRPr="00D00A27">
        <w:t>blaze the pathway,</w:t>
      </w:r>
    </w:p>
    <w:p w14:paraId="0EB25617" w14:textId="77777777" w:rsidR="008B4CAF" w:rsidRPr="00D00A27" w:rsidRDefault="008B4CAF" w:rsidP="008B4CAF">
      <w:r w:rsidRPr="00D00A27">
        <w:lastRenderedPageBreak/>
        <w:t>beautify my house of dialogue.</w:t>
      </w:r>
    </w:p>
    <w:p w14:paraId="6A9D6FD1" w14:textId="77777777" w:rsidR="008B4CAF" w:rsidRPr="00D00A27" w:rsidRDefault="008B4CAF" w:rsidP="008B4CAF">
      <w:r w:rsidRPr="00D00A27">
        <w:t>Tane the resilient</w:t>
      </w:r>
    </w:p>
    <w:p w14:paraId="34D79F5C" w14:textId="77777777" w:rsidR="008B4CAF" w:rsidRPr="00D00A27" w:rsidRDefault="008B4CAF" w:rsidP="008B4CAF">
      <w:r w:rsidRPr="00D00A27">
        <w:t>brought about responsibility,</w:t>
      </w:r>
    </w:p>
    <w:p w14:paraId="4F095E9E" w14:textId="77777777" w:rsidR="008B4CAF" w:rsidRPr="00D00A27" w:rsidRDefault="008B4CAF" w:rsidP="008B4CAF">
      <w:r w:rsidRPr="00D00A27">
        <w:t>extended are the arms of development</w:t>
      </w:r>
    </w:p>
    <w:p w14:paraId="357FB734" w14:textId="77777777" w:rsidR="008B4CAF" w:rsidRPr="00D00A27" w:rsidRDefault="008B4CAF" w:rsidP="008B4CAF">
      <w:r w:rsidRPr="00D00A27">
        <w:t>to the past.</w:t>
      </w:r>
    </w:p>
    <w:p w14:paraId="7FA41DA1" w14:textId="77777777" w:rsidR="008B4CAF" w:rsidRPr="00D00A27" w:rsidRDefault="008B4CAF" w:rsidP="008B4CAF">
      <w:r w:rsidRPr="00D00A27">
        <w:t>Enter into the potential</w:t>
      </w:r>
    </w:p>
    <w:p w14:paraId="56119E3A" w14:textId="77777777" w:rsidR="008B4CAF" w:rsidRPr="00D00A27" w:rsidRDefault="008B4CAF" w:rsidP="008B4CAF">
      <w:r w:rsidRPr="00D00A27">
        <w:t>of the communities,</w:t>
      </w:r>
    </w:p>
    <w:p w14:paraId="7CEFF0E8" w14:textId="77777777" w:rsidR="008B4CAF" w:rsidRPr="00D00A27" w:rsidRDefault="008B4CAF" w:rsidP="008B4CAF">
      <w:r w:rsidRPr="00D00A27">
        <w:t>maintain the balance,</w:t>
      </w:r>
    </w:p>
    <w:p w14:paraId="1BF9EC52" w14:textId="77777777" w:rsidR="008B4CAF" w:rsidRPr="00D00A27" w:rsidRDefault="008B4CAF" w:rsidP="008B4CAF">
      <w:r w:rsidRPr="00D00A27">
        <w:t>through support and advocacy,</w:t>
      </w:r>
    </w:p>
    <w:p w14:paraId="3723B7E5" w14:textId="4EDD0D1F" w:rsidR="008B4CAF" w:rsidRDefault="008B4CAF" w:rsidP="0049774E">
      <w:r w:rsidRPr="00D00A27">
        <w:t>keeping us anchored to Papatūānuku.</w:t>
      </w:r>
    </w:p>
    <w:p w14:paraId="70528FB3" w14:textId="77777777" w:rsidR="008B4CAF" w:rsidRPr="00D00A27" w:rsidRDefault="008B4CAF" w:rsidP="008B4CAF">
      <w:r w:rsidRPr="00D00A27">
        <w:t>Our waiata</w:t>
      </w:r>
      <w:r>
        <w:t>—</w:t>
      </w:r>
      <w:r w:rsidRPr="008809C3">
        <w:rPr>
          <w:i/>
          <w:iCs/>
        </w:rPr>
        <w:t>Tū Mai Rā, Toi Aotearoa</w:t>
      </w:r>
      <w:r>
        <w:t>—</w:t>
      </w:r>
      <w:r w:rsidRPr="00D00A27">
        <w:t xml:space="preserve">was composed by Arts Council member Kura Moeahu in 2019. </w:t>
      </w:r>
      <w:r w:rsidRPr="008809C3">
        <w:t>Its mātauranga invites us to stand tall and embrace what lies ahead. It’s the name of this strategy, which covers our journey to 2040.</w:t>
      </w:r>
    </w:p>
    <w:p w14:paraId="69A649A4" w14:textId="0AF4A0FE" w:rsidR="008F322C" w:rsidRPr="00D86DA5" w:rsidRDefault="008B4CAF" w:rsidP="008B4CAF">
      <w:pPr>
        <w:rPr>
          <w:b/>
          <w:bCs/>
        </w:rPr>
      </w:pPr>
      <w:r w:rsidRPr="0025514D">
        <w:rPr>
          <w:b/>
          <w:bCs/>
        </w:rPr>
        <w:t xml:space="preserve">End of </w:t>
      </w:r>
      <w:r w:rsidRPr="008B4CAF">
        <w:rPr>
          <w:b/>
          <w:bCs/>
        </w:rPr>
        <w:t>Our long-term strategy to 2040</w:t>
      </w:r>
    </w:p>
    <w:sectPr w:rsidR="008F322C" w:rsidRPr="00D86DA5" w:rsidSect="00DC5A29">
      <w:footerReference w:type="default" r:id="rId17"/>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7BDE" w14:textId="77777777" w:rsidR="00A301D2" w:rsidRPr="008C6E5B" w:rsidRDefault="00A301D2">
      <w:r w:rsidRPr="008C6E5B">
        <w:separator/>
      </w:r>
    </w:p>
  </w:endnote>
  <w:endnote w:type="continuationSeparator" w:id="0">
    <w:p w14:paraId="40A0C098" w14:textId="77777777" w:rsidR="00A301D2" w:rsidRPr="008C6E5B" w:rsidRDefault="00A301D2">
      <w:r w:rsidRPr="008C6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AC5" w14:textId="77777777" w:rsidR="00FC6AAA" w:rsidRPr="008C6E5B" w:rsidRDefault="00FC6AAA" w:rsidP="00D0147F">
    <w:pPr>
      <w:pStyle w:val="Footer"/>
      <w:framePr w:wrap="around"/>
    </w:pPr>
    <w:r w:rsidRPr="008C6E5B">
      <w:fldChar w:fldCharType="begin"/>
    </w:r>
    <w:r w:rsidRPr="008C6E5B">
      <w:instrText xml:space="preserve">PAGE  </w:instrText>
    </w:r>
    <w:r w:rsidRPr="008C6E5B">
      <w:fldChar w:fldCharType="end"/>
    </w:r>
  </w:p>
  <w:p w14:paraId="420168EF" w14:textId="77777777" w:rsidR="00FC6AAA" w:rsidRPr="008C6E5B"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0112" w14:textId="77777777" w:rsidR="00FC6AAA" w:rsidRPr="008C6E5B" w:rsidRDefault="00FC6AAA" w:rsidP="00D0147F">
    <w:pPr>
      <w:pStyle w:val="Footer"/>
      <w:framePr w:wrap="around"/>
    </w:pPr>
  </w:p>
  <w:p w14:paraId="1A65DC31" w14:textId="77777777" w:rsidR="00FC6AAA" w:rsidRPr="008C6E5B"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C3AE" w14:textId="77777777" w:rsidR="003D1E3F" w:rsidRPr="008C6E5B" w:rsidRDefault="00D6394F" w:rsidP="00D6394F">
    <w:pPr>
      <w:pStyle w:val="Footer"/>
      <w:framePr w:hRule="auto" w:wrap="auto" w:vAnchor="margin" w:hAnchor="text" w:xAlign="left" w:yAlign="inline"/>
    </w:pPr>
    <w:r w:rsidRPr="008C6E5B">
      <w:fldChar w:fldCharType="begin"/>
    </w:r>
    <w:r w:rsidRPr="008C6E5B">
      <w:instrText xml:space="preserve">PAGE  </w:instrText>
    </w:r>
    <w:r w:rsidRPr="008C6E5B">
      <w:fldChar w:fldCharType="separate"/>
    </w:r>
    <w:r w:rsidR="000F7451" w:rsidRPr="008C6E5B">
      <w:t>1</w:t>
    </w:r>
    <w:r w:rsidRPr="008C6E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A2C1" w14:textId="77777777" w:rsidR="00A301D2" w:rsidRPr="008C6E5B" w:rsidRDefault="00A301D2">
      <w:r w:rsidRPr="008C6E5B">
        <w:separator/>
      </w:r>
    </w:p>
  </w:footnote>
  <w:footnote w:type="continuationSeparator" w:id="0">
    <w:p w14:paraId="7D908C06" w14:textId="77777777" w:rsidR="00A301D2" w:rsidRPr="008C6E5B" w:rsidRDefault="00A301D2">
      <w:r w:rsidRPr="008C6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9A48" w14:textId="77777777" w:rsidR="009717B2" w:rsidRPr="008C6E5B" w:rsidRDefault="009B443C" w:rsidP="00947ACC">
    <w:pPr>
      <w:pStyle w:val="Header"/>
      <w:tabs>
        <w:tab w:val="clear" w:pos="4153"/>
        <w:tab w:val="clear" w:pos="8306"/>
        <w:tab w:val="left" w:pos="4008"/>
      </w:tabs>
    </w:pPr>
    <w:r w:rsidRPr="008C6E5B">
      <w:rPr>
        <w:lang w:eastAsia="ja-JP"/>
      </w:rPr>
      <mc:AlternateContent>
        <mc:Choice Requires="wps">
          <w:drawing>
            <wp:anchor distT="0" distB="0" distL="114300" distR="114300" simplePos="0" relativeHeight="251657728" behindDoc="0" locked="0" layoutInCell="1" allowOverlap="1" wp14:anchorId="2C4359F2" wp14:editId="34BCF401">
              <wp:simplePos x="0" y="0"/>
              <wp:positionH relativeFrom="column">
                <wp:posOffset>17780</wp:posOffset>
              </wp:positionH>
              <wp:positionV relativeFrom="topMargin">
                <wp:posOffset>504825</wp:posOffset>
              </wp:positionV>
              <wp:extent cx="655320" cy="476250"/>
              <wp:effectExtent l="0" t="0" r="1143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76250"/>
                      </a:xfrm>
                      <a:prstGeom prst="rect">
                        <a:avLst/>
                      </a:prstGeom>
                      <a:solidFill>
                        <a:srgbClr val="FFFFFF"/>
                      </a:solidFill>
                      <a:ln w="15875">
                        <a:solidFill>
                          <a:srgbClr val="000000"/>
                        </a:solidFill>
                        <a:miter lim="800000"/>
                        <a:headEnd/>
                        <a:tailEnd/>
                      </a:ln>
                    </wps:spPr>
                    <wps:txbx>
                      <w:txbxContent>
                        <w:p w14:paraId="0FB3E072" w14:textId="77777777" w:rsidR="00FC6AAA" w:rsidRPr="008C6E5B" w:rsidRDefault="002A00F5" w:rsidP="00E95DD4">
                          <w:pPr>
                            <w:rPr>
                              <w:rStyle w:val="Emphasis"/>
                            </w:rPr>
                          </w:pPr>
                          <w:r w:rsidRPr="008C6E5B">
                            <w:rPr>
                              <w:rStyle w:val="Emphasis"/>
                            </w:rPr>
                            <w:t>18</w:t>
                          </w:r>
                          <w:r w:rsidR="00FC6AAA" w:rsidRPr="008C6E5B">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4pt;margin-top:39.75pt;width:51.6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" strokeweight="1.25pt">
              <v:textbox inset="1.5mm,,1.5mm">
                <w:txbxContent>
                  <w:p w14:paraId="0FB3E072" w14:textId="77777777" w:rsidR="00FC6AAA" w:rsidRPr="008C6E5B" w:rsidRDefault="002A00F5" w:rsidP="00E95DD4">
                    <w:pPr>
                      <w:rPr>
                        <w:rStyle w:val="Emphasis"/>
                      </w:rPr>
                    </w:pPr>
                    <w:r w:rsidRPr="008C6E5B">
                      <w:rPr>
                        <w:rStyle w:val="Emphasis"/>
                      </w:rPr>
                      <w:t>18</w:t>
                    </w:r>
                    <w:r w:rsidR="00FC6AAA" w:rsidRPr="008C6E5B">
                      <w:rPr>
                        <w:rStyle w:val="Emphasis"/>
                      </w:rPr>
                      <w:t>pt</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4B6318A"/>
    <w:multiLevelType w:val="hybridMultilevel"/>
    <w:tmpl w:val="55AAED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C5F69"/>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207C7FCB"/>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78004D"/>
    <w:multiLevelType w:val="hybridMultilevel"/>
    <w:tmpl w:val="767AA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FA3243"/>
    <w:multiLevelType w:val="hybridMultilevel"/>
    <w:tmpl w:val="FF8424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2036DB"/>
    <w:multiLevelType w:val="hybridMultilevel"/>
    <w:tmpl w:val="7352A9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03A0FAD"/>
    <w:multiLevelType w:val="hybridMultilevel"/>
    <w:tmpl w:val="20CED8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6B236BE"/>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5B6208FF"/>
    <w:multiLevelType w:val="singleLevel"/>
    <w:tmpl w:val="14090001"/>
    <w:lvl w:ilvl="0">
      <w:start w:val="1"/>
      <w:numFmt w:val="bullet"/>
      <w:lvlText w:val=""/>
      <w:lvlJc w:val="left"/>
      <w:pPr>
        <w:ind w:left="720" w:hanging="360"/>
      </w:pPr>
      <w:rPr>
        <w:rFonts w:ascii="Symbol" w:hAnsi="Symbol" w:hint="default"/>
      </w:rPr>
    </w:lvl>
  </w:abstractNum>
  <w:abstractNum w:abstractNumId="23" w15:restartNumberingAfterBreak="0">
    <w:nsid w:val="5CBF60DD"/>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5DD73C2A"/>
    <w:multiLevelType w:val="hybridMultilevel"/>
    <w:tmpl w:val="D2C45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1304501"/>
    <w:multiLevelType w:val="hybridMultilevel"/>
    <w:tmpl w:val="EC006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7299A"/>
    <w:multiLevelType w:val="hybridMultilevel"/>
    <w:tmpl w:val="7D28F4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D5159B6"/>
    <w:multiLevelType w:val="singleLevel"/>
    <w:tmpl w:val="14090001"/>
    <w:lvl w:ilvl="0">
      <w:start w:val="1"/>
      <w:numFmt w:val="bullet"/>
      <w:lvlText w:val=""/>
      <w:lvlJc w:val="left"/>
      <w:pPr>
        <w:ind w:left="720" w:hanging="360"/>
      </w:pPr>
      <w:rPr>
        <w:rFonts w:ascii="Symbol" w:hAnsi="Symbol" w:hint="default"/>
      </w:rPr>
    </w:lvl>
  </w:abstractNum>
  <w:abstractNum w:abstractNumId="29"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26"/>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26"/>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6"/>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9"/>
  </w:num>
  <w:num w:numId="22" w16cid:durableId="1438985181">
    <w:abstractNumId w:val="28"/>
  </w:num>
  <w:num w:numId="23" w16cid:durableId="519314512">
    <w:abstractNumId w:val="23"/>
  </w:num>
  <w:num w:numId="24" w16cid:durableId="625429243">
    <w:abstractNumId w:val="21"/>
  </w:num>
  <w:num w:numId="25" w16cid:durableId="99228527">
    <w:abstractNumId w:val="15"/>
  </w:num>
  <w:num w:numId="26" w16cid:durableId="1381439833">
    <w:abstractNumId w:val="14"/>
  </w:num>
  <w:num w:numId="27" w16cid:durableId="2112822949">
    <w:abstractNumId w:val="22"/>
  </w:num>
  <w:num w:numId="28" w16cid:durableId="1749843954">
    <w:abstractNumId w:val="17"/>
  </w:num>
  <w:num w:numId="29" w16cid:durableId="1328552130">
    <w:abstractNumId w:val="27"/>
  </w:num>
  <w:num w:numId="30" w16cid:durableId="17591018">
    <w:abstractNumId w:val="25"/>
  </w:num>
  <w:num w:numId="31" w16cid:durableId="947781954">
    <w:abstractNumId w:val="24"/>
  </w:num>
  <w:num w:numId="32" w16cid:durableId="240067617">
    <w:abstractNumId w:val="18"/>
  </w:num>
  <w:num w:numId="33" w16cid:durableId="1526334320">
    <w:abstractNumId w:val="12"/>
  </w:num>
  <w:num w:numId="34" w16cid:durableId="208154822">
    <w:abstractNumId w:val="20"/>
  </w:num>
  <w:num w:numId="35" w16cid:durableId="18383760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A"/>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02DB"/>
    <w:rsid w:val="00156350"/>
    <w:rsid w:val="00163D42"/>
    <w:rsid w:val="001659A4"/>
    <w:rsid w:val="0016600D"/>
    <w:rsid w:val="00181617"/>
    <w:rsid w:val="001871E4"/>
    <w:rsid w:val="001A0859"/>
    <w:rsid w:val="001A1181"/>
    <w:rsid w:val="001A2407"/>
    <w:rsid w:val="001A6044"/>
    <w:rsid w:val="001E071C"/>
    <w:rsid w:val="001E4E78"/>
    <w:rsid w:val="001E5B09"/>
    <w:rsid w:val="00202330"/>
    <w:rsid w:val="002076A0"/>
    <w:rsid w:val="00211C99"/>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2612"/>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1C92"/>
    <w:rsid w:val="003E3764"/>
    <w:rsid w:val="003E37B3"/>
    <w:rsid w:val="003F1650"/>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9774E"/>
    <w:rsid w:val="004C18EF"/>
    <w:rsid w:val="004C7A62"/>
    <w:rsid w:val="004D1F2A"/>
    <w:rsid w:val="004D2D5F"/>
    <w:rsid w:val="004F1626"/>
    <w:rsid w:val="00504185"/>
    <w:rsid w:val="00532A81"/>
    <w:rsid w:val="00551D3C"/>
    <w:rsid w:val="00557285"/>
    <w:rsid w:val="00573507"/>
    <w:rsid w:val="005823D9"/>
    <w:rsid w:val="00595E50"/>
    <w:rsid w:val="005A00EC"/>
    <w:rsid w:val="005A0605"/>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B0EC4"/>
    <w:rsid w:val="006E16B7"/>
    <w:rsid w:val="006F30FD"/>
    <w:rsid w:val="00711B31"/>
    <w:rsid w:val="00713CB9"/>
    <w:rsid w:val="00720281"/>
    <w:rsid w:val="00720386"/>
    <w:rsid w:val="0072308E"/>
    <w:rsid w:val="007233A1"/>
    <w:rsid w:val="00725C21"/>
    <w:rsid w:val="007322A7"/>
    <w:rsid w:val="007365FB"/>
    <w:rsid w:val="00751D58"/>
    <w:rsid w:val="00754054"/>
    <w:rsid w:val="00770AE1"/>
    <w:rsid w:val="00772447"/>
    <w:rsid w:val="00772840"/>
    <w:rsid w:val="007B1201"/>
    <w:rsid w:val="007E6A23"/>
    <w:rsid w:val="007F655C"/>
    <w:rsid w:val="00814E01"/>
    <w:rsid w:val="00821A3E"/>
    <w:rsid w:val="00833DBF"/>
    <w:rsid w:val="00841B0E"/>
    <w:rsid w:val="00855DDB"/>
    <w:rsid w:val="00860718"/>
    <w:rsid w:val="00865040"/>
    <w:rsid w:val="0087231E"/>
    <w:rsid w:val="008752D5"/>
    <w:rsid w:val="0087735A"/>
    <w:rsid w:val="00880535"/>
    <w:rsid w:val="008A1F03"/>
    <w:rsid w:val="008A3C02"/>
    <w:rsid w:val="008A79B3"/>
    <w:rsid w:val="008B4B80"/>
    <w:rsid w:val="008B4CAF"/>
    <w:rsid w:val="008C54E0"/>
    <w:rsid w:val="008C6E5B"/>
    <w:rsid w:val="008D0182"/>
    <w:rsid w:val="008D040E"/>
    <w:rsid w:val="008E3334"/>
    <w:rsid w:val="008E3CBB"/>
    <w:rsid w:val="008E71FA"/>
    <w:rsid w:val="008F1CB0"/>
    <w:rsid w:val="008F322C"/>
    <w:rsid w:val="00900DF6"/>
    <w:rsid w:val="009064D6"/>
    <w:rsid w:val="009108D9"/>
    <w:rsid w:val="00910F0C"/>
    <w:rsid w:val="009148B6"/>
    <w:rsid w:val="0092188B"/>
    <w:rsid w:val="0092554E"/>
    <w:rsid w:val="00935BA2"/>
    <w:rsid w:val="00947ACC"/>
    <w:rsid w:val="009550CD"/>
    <w:rsid w:val="0096418C"/>
    <w:rsid w:val="009717B2"/>
    <w:rsid w:val="00972A20"/>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27228"/>
    <w:rsid w:val="00A301D2"/>
    <w:rsid w:val="00A42944"/>
    <w:rsid w:val="00A42A40"/>
    <w:rsid w:val="00A56FFE"/>
    <w:rsid w:val="00A72BF0"/>
    <w:rsid w:val="00A80848"/>
    <w:rsid w:val="00A8394A"/>
    <w:rsid w:val="00AB6E6A"/>
    <w:rsid w:val="00AC2CDB"/>
    <w:rsid w:val="00AC3E46"/>
    <w:rsid w:val="00AE209E"/>
    <w:rsid w:val="00AF1240"/>
    <w:rsid w:val="00AF1467"/>
    <w:rsid w:val="00AF1D74"/>
    <w:rsid w:val="00AF43E6"/>
    <w:rsid w:val="00AF59BE"/>
    <w:rsid w:val="00AF7D89"/>
    <w:rsid w:val="00B17F4D"/>
    <w:rsid w:val="00B536D7"/>
    <w:rsid w:val="00B560CC"/>
    <w:rsid w:val="00B60EEA"/>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57919"/>
    <w:rsid w:val="00C65137"/>
    <w:rsid w:val="00C7239C"/>
    <w:rsid w:val="00C7770D"/>
    <w:rsid w:val="00C92BDF"/>
    <w:rsid w:val="00C9518A"/>
    <w:rsid w:val="00C95364"/>
    <w:rsid w:val="00CA158C"/>
    <w:rsid w:val="00CA1D0D"/>
    <w:rsid w:val="00CA20F9"/>
    <w:rsid w:val="00CC133E"/>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86DA5"/>
    <w:rsid w:val="00D94B5D"/>
    <w:rsid w:val="00DA2636"/>
    <w:rsid w:val="00DB331C"/>
    <w:rsid w:val="00DC5A29"/>
    <w:rsid w:val="00DD0B2D"/>
    <w:rsid w:val="00DF2FBA"/>
    <w:rsid w:val="00DF54D9"/>
    <w:rsid w:val="00DF5AA6"/>
    <w:rsid w:val="00DF5D64"/>
    <w:rsid w:val="00E0579D"/>
    <w:rsid w:val="00E106E9"/>
    <w:rsid w:val="00E21598"/>
    <w:rsid w:val="00E21662"/>
    <w:rsid w:val="00E26869"/>
    <w:rsid w:val="00E31408"/>
    <w:rsid w:val="00E47B82"/>
    <w:rsid w:val="00E53D67"/>
    <w:rsid w:val="00E623FB"/>
    <w:rsid w:val="00E71FC8"/>
    <w:rsid w:val="00E90201"/>
    <w:rsid w:val="00E95DD4"/>
    <w:rsid w:val="00E965DD"/>
    <w:rsid w:val="00EB6CDA"/>
    <w:rsid w:val="00EC2887"/>
    <w:rsid w:val="00ED314F"/>
    <w:rsid w:val="00EE558F"/>
    <w:rsid w:val="00EF7E47"/>
    <w:rsid w:val="00F01665"/>
    <w:rsid w:val="00F032D3"/>
    <w:rsid w:val="00F12B16"/>
    <w:rsid w:val="00F2523B"/>
    <w:rsid w:val="00F33509"/>
    <w:rsid w:val="00F37771"/>
    <w:rsid w:val="00F81286"/>
    <w:rsid w:val="00F84476"/>
    <w:rsid w:val="00FA1B1E"/>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80E7F84"/>
  <w15:docId w15:val="{6DB55F6D-D8E5-4F08-A410-DD3FC6D8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8C"/>
    <w:pPr>
      <w:spacing w:before="120" w:after="240" w:line="288" w:lineRule="auto"/>
    </w:pPr>
    <w:rPr>
      <w:rFonts w:ascii="Arial" w:hAnsi="Arial"/>
      <w:noProof/>
      <w:sz w:val="36"/>
      <w:szCs w:val="24"/>
      <w:lang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CA158C"/>
    <w:rPr>
      <w:color w:val="605E5C"/>
      <w:shd w:val="clear" w:color="auto" w:fill="E1DFDD"/>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8B4CAF"/>
    <w:rPr>
      <w:rFonts w:ascii="Arial" w:hAnsi="Arial"/>
      <w:noProof/>
      <w:sz w:val="36"/>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reativenz.govt.nz/tumair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rategy" ma:contentTypeID="0x01010020C29750D968C84E8A532D49EE01BCE01600DB57E8408000464FAD4DA25B68C96F91" ma:contentTypeVersion="4" ma:contentTypeDescription="To be used for the Strategy library in the Strategy &amp; Planning site. " ma:contentTypeScope="" ma:versionID="8d5c46a161190b4aca2182053eca02bf">
  <xsd:schema xmlns:xsd="http://www.w3.org/2001/XMLSchema" xmlns:xs="http://www.w3.org/2001/XMLSchema" xmlns:p="http://schemas.microsoft.com/office/2006/metadata/properties" xmlns:ns2="1eb857db-5c67-47b7-8545-aa19c5d2ceac" targetNamespace="http://schemas.microsoft.com/office/2006/metadata/properties" ma:root="true" ma:fieldsID="08436bc4cbcd1b0f266b7d02daa6a2ac" ns2:_="">
    <xsd:import namespace="1eb857db-5c67-47b7-8545-aa19c5d2ceac"/>
    <xsd:element name="properties">
      <xsd:complexType>
        <xsd:sequence>
          <xsd:element name="documentManagement">
            <xsd:complexType>
              <xsd:all>
                <xsd:element ref="ns2:m2a1961ed2cc4e4bb3a1ba432cb3e43a" minOccurs="0"/>
                <xsd:element ref="ns2:TaxCatchAll" minOccurs="0"/>
                <xsd:element ref="ns2:TaxCatchAllLabel" minOccurs="0"/>
                <xsd:element ref="ns2:p4f68ee493344f4e9716631b78aec2d1" minOccurs="0"/>
                <xsd:element ref="ns2:lfae9de2410d4efba2dc15289f148ae6" minOccurs="0"/>
                <xsd:element ref="ns2:c5f2ee56a82d4ba4acd6614ea6a7e677" minOccurs="0"/>
                <xsd:element ref="ns2:efb11a989246410dac59a0da6e5b5e6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8"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f2b385-17a9-4f38-9607-003da10ef9c1}"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f2b385-17a9-4f38-9607-003da10ef9c1}"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4f68ee493344f4e9716631b78aec2d1" ma:index="12"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element name="lfae9de2410d4efba2dc15289f148ae6" ma:index="14"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c5f2ee56a82d4ba4acd6614ea6a7e677" ma:index="16" nillable="true" ma:taxonomy="true" ma:internalName="c5f2ee56a82d4ba4acd6614ea6a7e677" ma:taxonomyFieldName="Strategy_x0020_Name" ma:displayName="Strategy" ma:default="" ma:fieldId="{c5f2ee56-a82d-4ba4-acd6-614ea6a7e677}" ma:sspId="454f842a-b86f-4341-96eb-b93a389407ca" ma:termSetId="2050be7d-3d33-4528-8fcc-1e3de137f975" ma:anchorId="00000000-0000-0000-0000-000000000000" ma:open="false" ma:isKeyword="false">
      <xsd:complexType>
        <xsd:sequence>
          <xsd:element ref="pc:Terms" minOccurs="0" maxOccurs="1"/>
        </xsd:sequence>
      </xsd:complexType>
    </xsd:element>
    <xsd:element name="efb11a989246410dac59a0da6e5b5e6c" ma:index="18" nillable="true" ma:taxonomy="true" ma:internalName="efb11a989246410dac59a0da6e5b5e6c" ma:taxonomyFieldName="Investment_x0020_Category" ma:displayName="Investment Category" ma:default="" ma:fieldId="{efb11a98-9246-410d-ac59-a0da6e5b5e6c}" ma:sspId="454f842a-b86f-4341-96eb-b93a389407ca" ma:termSetId="f7990130-03c8-4184-a784-6664c6eb2d2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454f842a-b86f-4341-96eb-b93a389407ca" ContentTypeId="0x01010020C29750D968C84E8A532D49EE01BCE016" PreviousValue="false" LastSyncTimeStamp="2021-10-19T01:21:04.77Z"/>
</file>

<file path=customXml/item5.xml><?xml version="1.0" encoding="utf-8"?>
<p:properties xmlns:p="http://schemas.microsoft.com/office/2006/metadata/properties" xmlns:xsi="http://www.w3.org/2001/XMLSchema-instance" xmlns:pc="http://schemas.microsoft.com/office/infopath/2007/PartnerControls">
  <documentManagement>
    <TaxCatchAll xmlns="1eb857db-5c67-47b7-8545-aa19c5d2ceac">
      <Value>140</Value>
      <Value>25</Value>
      <Value>154</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m2a1961ed2cc4e4bb3a1ba432cb3e43a xmlns="1eb857db-5c67-47b7-8545-aa19c5d2ceac">
      <Terms xmlns="http://schemas.microsoft.com/office/infopath/2007/PartnerControls"/>
    </m2a1961ed2cc4e4bb3a1ba432cb3e43a>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Final/published</TermName>
          <TermId xmlns="http://schemas.microsoft.com/office/infopath/2007/PartnerControls">32686660-9c01-489e-8cfe-2347910d73e8</TermId>
        </TermInfo>
      </Terms>
    </lfae9de2410d4efba2dc15289f148ae6>
    <c5f2ee56a82d4ba4acd6614ea6a7e677 xmlns="1eb857db-5c67-47b7-8545-aa19c5d2ceac">
      <Terms xmlns="http://schemas.microsoft.com/office/infopath/2007/PartnerControls">
        <TermInfo xmlns="http://schemas.microsoft.com/office/infopath/2007/PartnerControls">
          <TermName xmlns="http://schemas.microsoft.com/office/infopath/2007/PartnerControls">Organisational Strategy</TermName>
          <TermId xmlns="http://schemas.microsoft.com/office/infopath/2007/PartnerControls">1a8b092b-04b6-4387-b6a6-210dd0b9846b</TermId>
        </TermInfo>
      </Terms>
    </c5f2ee56a82d4ba4acd6614ea6a7e677>
    <efb11a989246410dac59a0da6e5b5e6c xmlns="1eb857db-5c67-47b7-8545-aa19c5d2ceac">
      <Terms xmlns="http://schemas.microsoft.com/office/infopath/2007/PartnerControls"/>
    </efb11a989246410dac59a0da6e5b5e6c>
  </documentManagement>
</p:properties>
</file>

<file path=customXml/itemProps1.xml><?xml version="1.0" encoding="utf-8"?>
<ds:datastoreItem xmlns:ds="http://schemas.openxmlformats.org/officeDocument/2006/customXml" ds:itemID="{BA212EC3-B5F4-40D8-A416-2B36A3987D2F}">
  <ds:schemaRefs>
    <ds:schemaRef ds:uri="http://schemas.microsoft.com/sharepoint/v3/contenttype/forms"/>
  </ds:schemaRefs>
</ds:datastoreItem>
</file>

<file path=customXml/itemProps2.xml><?xml version="1.0" encoding="utf-8"?>
<ds:datastoreItem xmlns:ds="http://schemas.openxmlformats.org/officeDocument/2006/customXml" ds:itemID="{AFCF5EC6-9979-4CBB-B48B-724DB0C4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4.xml><?xml version="1.0" encoding="utf-8"?>
<ds:datastoreItem xmlns:ds="http://schemas.openxmlformats.org/officeDocument/2006/customXml" ds:itemID="{69415D72-BB3C-4A1E-ABB1-45EFAF97EF83}">
  <ds:schemaRefs>
    <ds:schemaRef ds:uri="Microsoft.SharePoint.Taxonomy.ContentTypeSync"/>
  </ds:schemaRefs>
</ds:datastoreItem>
</file>

<file path=customXml/itemProps5.xml><?xml version="1.0" encoding="utf-8"?>
<ds:datastoreItem xmlns:ds="http://schemas.openxmlformats.org/officeDocument/2006/customXml" ds:itemID="{CBA72577-5118-425A-B824-5F732F2E2BD0}">
  <ds:schemaRefs>
    <ds:schemaRef ds:uri="http://schemas.microsoft.com/office/2006/metadata/properties"/>
    <ds:schemaRef ds:uri="http://schemas.microsoft.com/office/infopath/2007/PartnerControls"/>
    <ds:schemaRef ds:uri="1eb857db-5c67-47b7-8545-aa19c5d2ceac"/>
  </ds:schemaRefs>
</ds:datastoreItem>
</file>

<file path=docProps/app.xml><?xml version="1.0" encoding="utf-8"?>
<Properties xmlns="http://schemas.openxmlformats.org/officeDocument/2006/extended-properties" xmlns:vt="http://schemas.openxmlformats.org/officeDocument/2006/docPropsVTypes">
  <Template>LP 18pt A4</Template>
  <TotalTime>0</TotalTime>
  <Pages>12</Pages>
  <Words>1557</Words>
  <Characters>8875</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Book Title</vt:lpstr>
      <vt:lpstr>    Notes for the Large Print Reader</vt:lpstr>
      <vt:lpstr>Heading 1</vt:lpstr>
      <vt:lpstr>    Heading 2</vt:lpstr>
      <vt:lpstr>        Heading 3</vt:lpstr>
      <vt:lpstr>Heading 1</vt:lpstr>
      <vt:lpstr>Who is eligible to get a rates rebate</vt:lpstr>
      <vt:lpstr>    How rates rebates are calculated</vt:lpstr>
      <vt:lpstr>        How much you can earn</vt:lpstr>
      <vt:lpstr>        SuperGold cardholders can earn more</vt:lpstr>
      <vt:lpstr>        Get an estimate of how much rebate you might get</vt:lpstr>
      <vt:lpstr>    Where you live</vt:lpstr>
      <vt:lpstr>        Other types of ownership and living situations</vt:lpstr>
      <vt:lpstr>        Properties you cannot get a rebate for</vt:lpstr>
      <vt:lpstr>    The total rates you pay</vt:lpstr>
      <vt:lpstr>    Your dependants</vt:lpstr>
      <vt:lpstr>        Child dependents</vt:lpstr>
      <vt:lpstr>        Family dependents</vt:lpstr>
      <vt:lpstr>    Your household income before tax</vt:lpstr>
      <vt:lpstr>        Get proof of your income</vt:lpstr>
      <vt:lpstr>    Talk to your council about eligibility</vt:lpstr>
      <vt:lpstr>    More information</vt:lpstr>
    </vt:vector>
  </TitlesOfParts>
  <Company>RNZFB</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Eunice Kwa</cp:lastModifiedBy>
  <cp:revision>2</cp:revision>
  <cp:lastPrinted>1900-12-31T12:00:00Z</cp:lastPrinted>
  <dcterms:created xsi:type="dcterms:W3CDTF">2026-07-23T03:03:00Z</dcterms:created>
  <dcterms:modified xsi:type="dcterms:W3CDTF">2026-07-23T03:03:00Z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0x01010020C29750D968C84E8A532D49EE01BCE01600DB57E8408000464FAD4DA25B68C96F91</vt:lpwstr>
  </property>
  <property fmtid="{D5CDD505-2E9C-101B-9397-08002B2CF9AE}" pid="3" name="Investment_x0020_Category">
    <vt:lpwstr/>
  </property>
  <property fmtid="{D5CDD505-2E9C-101B-9397-08002B2CF9AE}" pid="4" name="Document_x0020_Type">
    <vt:lpwstr/>
  </property>
  <property fmtid="{D5CDD505-2E9C-101B-9397-08002B2CF9AE}" pid="5" name="Strategy Name">
    <vt:lpwstr>154;#Organisational Strategy|1a8b092b-04b6-4387-b6a6-210dd0b9846b</vt:lpwstr>
  </property>
  <property fmtid="{D5CDD505-2E9C-101B-9397-08002B2CF9AE}" pid="6" name="MediaServiceImageTags">
    <vt:lpwstr/>
  </property>
  <property fmtid="{D5CDD505-2E9C-101B-9397-08002B2CF9AE}" pid="7" name="Strategy_x0020_Name">
    <vt:lpwstr>154;#Organisational Strategy|1a8b092b-04b6-4387-b6a6-210dd0b9846b</vt:lpwstr>
  </property>
  <property fmtid="{D5CDD505-2E9C-101B-9397-08002B2CF9AE}" pid="8" name="Financial Year">
    <vt:lpwstr>140;#2025-26|059155e9-0fcc-4c17-b940-a692e15c2c2c</vt:lpwstr>
  </property>
  <property fmtid="{D5CDD505-2E9C-101B-9397-08002B2CF9AE}" pid="9" name="Financial_x0020_Year">
    <vt:lpwstr>140;#2025-26|059155e9-0fcc-4c17-b940-a692e15c2c2c</vt:lpwstr>
  </property>
  <property fmtid="{D5CDD505-2E9C-101B-9397-08002B2CF9AE}" pid="10" name="Status">
    <vt:lpwstr>25;#Final/published|32686660-9c01-489e-8cfe-2347910d73e8</vt:lpwstr>
  </property>
  <property fmtid="{D5CDD505-2E9C-101B-9397-08002B2CF9AE}" pid="11" name="lcf76f155ced4ddcb4097134ff3c332f">
    <vt:lpwstr/>
  </property>
  <property fmtid="{D5CDD505-2E9C-101B-9397-08002B2CF9AE}" pid="12" name="Document Type">
    <vt:lpwstr/>
  </property>
  <property fmtid="{D5CDD505-2E9C-101B-9397-08002B2CF9AE}" pid="13" name="Investment Category">
    <vt:lpwstr/>
  </property>
</Properties>
</file>