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F90" w:rsidRPr="0077049D" w:rsidRDefault="00B82A5C" w:rsidP="00B82A5C">
      <w:pPr>
        <w:tabs>
          <w:tab w:val="left" w:pos="9361"/>
        </w:tabs>
        <w:spacing w:before="120"/>
        <w:ind w:firstLine="10080"/>
        <w:jc w:val="left"/>
        <w:rPr>
          <w:rFonts w:ascii="Arial Black" w:hAnsi="Arial Black"/>
          <w:sz w:val="28"/>
          <w:szCs w:val="28"/>
        </w:rPr>
      </w:pPr>
      <w:r>
        <w:rPr>
          <w:rFonts w:ascii="Arial Black" w:hAnsi="Arial Black"/>
          <w:b/>
          <w:noProof/>
          <w:color w:val="FFFFFF"/>
          <w:sz w:val="28"/>
          <w:szCs w:val="28"/>
        </w:rPr>
        <w:drawing>
          <wp:anchor distT="0" distB="0" distL="114300" distR="114300" simplePos="0" relativeHeight="251695104" behindDoc="1" locked="0" layoutInCell="1" allowOverlap="1" wp14:anchorId="33C63198" wp14:editId="556971F4">
            <wp:simplePos x="0" y="0"/>
            <wp:positionH relativeFrom="column">
              <wp:posOffset>2540</wp:posOffset>
            </wp:positionH>
            <wp:positionV relativeFrom="paragraph">
              <wp:posOffset>74102</wp:posOffset>
            </wp:positionV>
            <wp:extent cx="7200000" cy="10184400"/>
            <wp:effectExtent l="0" t="0" r="0" b="0"/>
            <wp:wrapNone/>
            <wp:docPr id="18" name="Picture 18" title="Cover page Creative New Zealand Annual Repor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zmain02\CNZ Share\PR\2.0 Reporting\2.4 Annual Report\2.4.6 2012-13\Report\Design\Cover 12-13 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10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b/>
          <w:color w:val="FFFFFF"/>
          <w:sz w:val="28"/>
          <w:szCs w:val="28"/>
        </w:rPr>
        <w:t xml:space="preserve">      </w:t>
      </w:r>
      <w:r w:rsidR="0077049D" w:rsidRPr="0077049D">
        <w:rPr>
          <w:rFonts w:ascii="Arial Black" w:hAnsi="Arial Black"/>
          <w:b/>
          <w:color w:val="FFFFFF"/>
          <w:sz w:val="28"/>
          <w:szCs w:val="28"/>
        </w:rPr>
        <w:t>G11</w:t>
      </w:r>
    </w:p>
    <w:p w:rsidR="000B5F90" w:rsidRPr="006552E9" w:rsidRDefault="000B5F90" w:rsidP="000B5F90">
      <w:pPr>
        <w:jc w:val="center"/>
        <w:rPr>
          <w:rFonts w:ascii="Arial Black" w:hAnsi="Arial Black"/>
        </w:rPr>
        <w:sectPr w:rsidR="000B5F90" w:rsidRPr="006552E9" w:rsidSect="00ED1540">
          <w:pgSz w:w="11907" w:h="16840" w:code="9"/>
          <w:pgMar w:top="284" w:right="284" w:bottom="284" w:left="284" w:header="0" w:footer="720" w:gutter="0"/>
          <w:cols w:space="708"/>
          <w:docGrid w:linePitch="360"/>
        </w:sectPr>
      </w:pPr>
    </w:p>
    <w:p w:rsidR="004F0289" w:rsidRPr="006552E9" w:rsidRDefault="004F0289" w:rsidP="004E77B9"/>
    <w:p w:rsidR="006E1FE0" w:rsidRPr="006552E9" w:rsidRDefault="006E1FE0" w:rsidP="004E77B9">
      <w:r w:rsidRPr="006552E9">
        <w:t>Contact us</w:t>
      </w:r>
    </w:p>
    <w:p w:rsidR="006E1FE0" w:rsidRPr="006552E9" w:rsidRDefault="006E1FE0" w:rsidP="006E1FE0">
      <w:pPr>
        <w:pStyle w:val="NormalWeb3"/>
        <w:shd w:val="clear" w:color="auto" w:fill="FFFFFF"/>
        <w:spacing w:before="240" w:after="0"/>
        <w:rPr>
          <w:rFonts w:cs="Arial"/>
          <w:szCs w:val="22"/>
        </w:rPr>
      </w:pPr>
      <w:r w:rsidRPr="006552E9">
        <w:rPr>
          <w:rFonts w:cs="Arial"/>
          <w:b/>
          <w:szCs w:val="22"/>
        </w:rPr>
        <w:t>Website</w:t>
      </w:r>
      <w:r w:rsidRPr="006552E9">
        <w:rPr>
          <w:rFonts w:cs="Arial"/>
          <w:szCs w:val="22"/>
        </w:rPr>
        <w:t>: www.creativenz.govt.nz</w:t>
      </w:r>
    </w:p>
    <w:p w:rsidR="006E1FE0" w:rsidRPr="006552E9" w:rsidRDefault="006E1FE0" w:rsidP="004E77B9">
      <w:pPr>
        <w:rPr>
          <w:b/>
        </w:rPr>
      </w:pPr>
      <w:r w:rsidRPr="006552E9">
        <w:t>Wellington Office</w:t>
      </w:r>
    </w:p>
    <w:p w:rsidR="00132982" w:rsidRPr="006552E9" w:rsidRDefault="00132982" w:rsidP="006E1FE0">
      <w:pPr>
        <w:pStyle w:val="NormalWeb3"/>
        <w:shd w:val="clear" w:color="auto" w:fill="FFFFFF"/>
        <w:spacing w:before="0" w:after="0"/>
        <w:rPr>
          <w:rFonts w:cs="Arial"/>
          <w:szCs w:val="22"/>
        </w:rPr>
      </w:pPr>
      <w:r w:rsidRPr="006552E9">
        <w:rPr>
          <w:rFonts w:cs="Arial"/>
          <w:szCs w:val="22"/>
        </w:rPr>
        <w:t>Level 10</w:t>
      </w:r>
    </w:p>
    <w:p w:rsidR="00132982" w:rsidRPr="006552E9" w:rsidRDefault="00132982" w:rsidP="006E1FE0">
      <w:pPr>
        <w:pStyle w:val="NormalWeb3"/>
        <w:shd w:val="clear" w:color="auto" w:fill="FFFFFF"/>
        <w:spacing w:before="0" w:after="0"/>
        <w:rPr>
          <w:rFonts w:cs="Arial"/>
          <w:szCs w:val="22"/>
        </w:rPr>
      </w:pPr>
      <w:r w:rsidRPr="006552E9">
        <w:rPr>
          <w:rFonts w:cs="Arial"/>
          <w:szCs w:val="22"/>
        </w:rPr>
        <w:t>Aorangi House</w:t>
      </w:r>
    </w:p>
    <w:p w:rsidR="00B83DB1" w:rsidRPr="006552E9" w:rsidRDefault="00132982" w:rsidP="006E1FE0">
      <w:pPr>
        <w:pStyle w:val="NormalWeb3"/>
        <w:shd w:val="clear" w:color="auto" w:fill="FFFFFF"/>
        <w:spacing w:before="0" w:after="0"/>
        <w:rPr>
          <w:rFonts w:cs="Arial"/>
          <w:szCs w:val="22"/>
        </w:rPr>
      </w:pPr>
      <w:r w:rsidRPr="006552E9">
        <w:rPr>
          <w:rFonts w:cs="Arial"/>
          <w:szCs w:val="22"/>
        </w:rPr>
        <w:t>85 Molesworth Street</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PO Box 3806</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Wellington 6140</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T: 04 473 0880</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F: 04 471 2865</w:t>
      </w:r>
    </w:p>
    <w:p w:rsidR="006E1FE0" w:rsidRPr="006552E9" w:rsidRDefault="006E1FE0" w:rsidP="006E1FE0">
      <w:pPr>
        <w:pStyle w:val="NormalWeb3"/>
        <w:shd w:val="clear" w:color="auto" w:fill="FFFFFF"/>
        <w:spacing w:before="0" w:after="0"/>
        <w:rPr>
          <w:rFonts w:cs="Arial"/>
          <w:szCs w:val="22"/>
        </w:rPr>
      </w:pPr>
      <w:r w:rsidRPr="006552E9">
        <w:rPr>
          <w:rFonts w:cs="Arial"/>
          <w:szCs w:val="22"/>
        </w:rPr>
        <w:t xml:space="preserve">E: </w:t>
      </w:r>
      <w:hyperlink r:id="rId10" w:history="1">
        <w:r w:rsidR="004A05CA" w:rsidRPr="006552E9">
          <w:rPr>
            <w:rStyle w:val="Hyperlink"/>
            <w:rFonts w:cs="Arial"/>
            <w:szCs w:val="22"/>
          </w:rPr>
          <w:t>info@creativenz.govt.nz</w:t>
        </w:r>
      </w:hyperlink>
    </w:p>
    <w:p w:rsidR="006E1FE0" w:rsidRPr="006552E9" w:rsidRDefault="006E1FE0" w:rsidP="004E77B9">
      <w:pPr>
        <w:rPr>
          <w:b/>
        </w:rPr>
      </w:pPr>
      <w:r w:rsidRPr="006552E9">
        <w:t>Auckland Office</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Third Floor</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Southern Cross Building</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Cnr High and Victoria Streets</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PO Box 1425</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Auckland 1140</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T: 09 373 3066</w:t>
      </w:r>
    </w:p>
    <w:p w:rsidR="00B83DB1" w:rsidRPr="006552E9" w:rsidRDefault="006E1FE0" w:rsidP="006E1FE0">
      <w:pPr>
        <w:pStyle w:val="NormalWeb3"/>
        <w:shd w:val="clear" w:color="auto" w:fill="FFFFFF"/>
        <w:spacing w:before="0" w:after="0"/>
        <w:rPr>
          <w:rFonts w:cs="Arial"/>
          <w:szCs w:val="22"/>
        </w:rPr>
      </w:pPr>
      <w:r w:rsidRPr="006552E9">
        <w:rPr>
          <w:rFonts w:cs="Arial"/>
          <w:szCs w:val="22"/>
        </w:rPr>
        <w:t>F: 09 377 6795</w:t>
      </w:r>
    </w:p>
    <w:p w:rsidR="006E1FE0" w:rsidRPr="006552E9" w:rsidRDefault="006E1FE0" w:rsidP="006E1FE0">
      <w:pPr>
        <w:pStyle w:val="NormalWeb3"/>
        <w:shd w:val="clear" w:color="auto" w:fill="FFFFFF"/>
        <w:spacing w:before="0" w:after="0"/>
        <w:rPr>
          <w:rFonts w:cs="Arial"/>
          <w:szCs w:val="22"/>
        </w:rPr>
      </w:pPr>
      <w:r w:rsidRPr="006552E9">
        <w:rPr>
          <w:rFonts w:cs="Arial"/>
          <w:szCs w:val="22"/>
        </w:rPr>
        <w:t xml:space="preserve">E: </w:t>
      </w:r>
      <w:hyperlink r:id="rId11" w:history="1">
        <w:r w:rsidR="004A05CA" w:rsidRPr="006552E9">
          <w:rPr>
            <w:rStyle w:val="Hyperlink"/>
            <w:rFonts w:cs="Arial"/>
            <w:szCs w:val="22"/>
          </w:rPr>
          <w:t>northern@creativenz.govt.nz</w:t>
        </w:r>
      </w:hyperlink>
    </w:p>
    <w:p w:rsidR="00B83DB1" w:rsidRPr="006552E9" w:rsidRDefault="00B83DB1" w:rsidP="00B83DB1">
      <w:r w:rsidRPr="006552E9">
        <w:t xml:space="preserve">Christchurch </w:t>
      </w:r>
      <w:r w:rsidR="001B45FF" w:rsidRPr="006552E9">
        <w:t>Contact</w:t>
      </w:r>
    </w:p>
    <w:p w:rsidR="001C4B75" w:rsidRPr="006552E9" w:rsidRDefault="006E1FE0" w:rsidP="001B45FF">
      <w:pPr>
        <w:spacing w:before="0"/>
      </w:pPr>
      <w:r w:rsidRPr="006552E9">
        <w:rPr>
          <w:rFonts w:cs="Arial"/>
          <w:szCs w:val="22"/>
        </w:rPr>
        <w:t xml:space="preserve">E: </w:t>
      </w:r>
      <w:hyperlink r:id="rId12" w:history="1">
        <w:r w:rsidR="004A05CA" w:rsidRPr="006552E9">
          <w:rPr>
            <w:rStyle w:val="Hyperlink"/>
            <w:rFonts w:cs="Arial"/>
            <w:szCs w:val="22"/>
          </w:rPr>
          <w:t>southern@creativenz.govt.nz</w:t>
        </w:r>
      </w:hyperlink>
    </w:p>
    <w:p w:rsidR="00782F6A" w:rsidRPr="006552E9" w:rsidRDefault="00782F6A" w:rsidP="004E77B9"/>
    <w:p w:rsidR="001C4B75" w:rsidRPr="006552E9" w:rsidRDefault="001C4B75" w:rsidP="001C4B75"/>
    <w:p w:rsidR="00356BA8" w:rsidRPr="006552E9" w:rsidRDefault="00FB0559" w:rsidP="00FF7DBB">
      <w:pPr>
        <w:rPr>
          <w:rFonts w:cs="Arial"/>
          <w:sz w:val="20"/>
          <w:szCs w:val="20"/>
        </w:rPr>
      </w:pPr>
      <w:r w:rsidRPr="006552E9">
        <w:t>Front cover:</w:t>
      </w:r>
      <w:r w:rsidR="0077049D">
        <w:t xml:space="preserve"> </w:t>
      </w:r>
      <w:r w:rsidR="00B01AB3" w:rsidRPr="00B01AB3">
        <w:rPr>
          <w:i/>
        </w:rPr>
        <w:t xml:space="preserve">Sky Dancer </w:t>
      </w:r>
      <w:r w:rsidR="00B01AB3">
        <w:t xml:space="preserve">poster image, </w:t>
      </w:r>
      <w:r w:rsidR="00B01AB3" w:rsidRPr="00E941F6">
        <w:rPr>
          <w:rFonts w:cs="Calibri"/>
        </w:rPr>
        <w:t>Capital E National Theatre for Children and the New Zealand Symphony Orchestra 2013</w:t>
      </w:r>
      <w:r w:rsidR="00B01AB3">
        <w:rPr>
          <w:rFonts w:cs="Calibri"/>
        </w:rPr>
        <w:t>.</w:t>
      </w:r>
    </w:p>
    <w:p w:rsidR="00FB0559" w:rsidRPr="006552E9" w:rsidRDefault="00FB0559" w:rsidP="0044314D"/>
    <w:p w:rsidR="001C4B75" w:rsidRPr="006552E9" w:rsidRDefault="003D2106" w:rsidP="001C4B75">
      <w:r w:rsidRPr="006552E9">
        <w:br w:type="page"/>
      </w:r>
    </w:p>
    <w:p w:rsidR="001C4B75" w:rsidRPr="006552E9" w:rsidRDefault="001C4B75" w:rsidP="001C4B75"/>
    <w:p w:rsidR="00C214C6" w:rsidRPr="006552E9" w:rsidRDefault="00C214C6" w:rsidP="004E77B9"/>
    <w:p w:rsidR="001C4B75" w:rsidRPr="006552E9" w:rsidRDefault="006E1FE0" w:rsidP="001C4B75">
      <w:r w:rsidRPr="006552E9">
        <w:t xml:space="preserve">In accordance with section </w:t>
      </w:r>
      <w:r w:rsidR="007E1820" w:rsidRPr="006552E9">
        <w:t>150(3)</w:t>
      </w:r>
      <w:r w:rsidRPr="006552E9">
        <w:t xml:space="preserve"> of the Crown Entities Act 2004, this </w:t>
      </w:r>
      <w:r w:rsidR="00033462" w:rsidRPr="006552E9">
        <w:t>a</w:t>
      </w:r>
      <w:r w:rsidRPr="006552E9">
        <w:t xml:space="preserve">nnual </w:t>
      </w:r>
      <w:r w:rsidR="00033462" w:rsidRPr="006552E9">
        <w:t>r</w:t>
      </w:r>
      <w:r w:rsidRPr="006552E9">
        <w:t xml:space="preserve">eport </w:t>
      </w:r>
      <w:r w:rsidR="002F0709" w:rsidRPr="006552E9">
        <w:t xml:space="preserve">for </w:t>
      </w:r>
      <w:r w:rsidR="00194037" w:rsidRPr="006552E9">
        <w:t>2012/13</w:t>
      </w:r>
      <w:r w:rsidR="002F0709" w:rsidRPr="006552E9">
        <w:t xml:space="preserve"> </w:t>
      </w:r>
      <w:r w:rsidRPr="006552E9">
        <w:t xml:space="preserve">of the Arts Council of </w:t>
      </w:r>
      <w:r w:rsidR="0029047D" w:rsidRPr="006552E9">
        <w:t>New Zealand</w:t>
      </w:r>
      <w:r w:rsidR="00CF40E2" w:rsidRPr="006552E9">
        <w:t xml:space="preserve"> Toi Aotearoa </w:t>
      </w:r>
      <w:r w:rsidR="00E467AE" w:rsidRPr="006552E9">
        <w:t xml:space="preserve">(trading as Creative New Zealand) </w:t>
      </w:r>
      <w:r w:rsidRPr="006552E9">
        <w:t>is presented to the House of Representatives.</w:t>
      </w:r>
    </w:p>
    <w:p w:rsidR="001C4B75" w:rsidRPr="006552E9" w:rsidRDefault="001C4B75" w:rsidP="004E77B9"/>
    <w:p w:rsidR="00393D23" w:rsidRPr="006552E9" w:rsidRDefault="00393D23" w:rsidP="00393D23"/>
    <w:p w:rsidR="00393D23" w:rsidRPr="006552E9" w:rsidRDefault="00891516" w:rsidP="00393D23">
      <w:r w:rsidRPr="006552E9">
        <w:rPr>
          <w:noProof/>
        </w:rPr>
        <w:drawing>
          <wp:inline distT="0" distB="0" distL="0" distR="0" wp14:anchorId="18D1F961" wp14:editId="4A58B10A">
            <wp:extent cx="1463040" cy="813816"/>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 s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813816"/>
                    </a:xfrm>
                    <a:prstGeom prst="rect">
                      <a:avLst/>
                    </a:prstGeom>
                  </pic:spPr>
                </pic:pic>
              </a:graphicData>
            </a:graphic>
          </wp:inline>
        </w:drawing>
      </w:r>
    </w:p>
    <w:p w:rsidR="00393D23" w:rsidRPr="006552E9" w:rsidRDefault="00194037" w:rsidP="00393D23">
      <w:r w:rsidRPr="006552E9">
        <w:t>R</w:t>
      </w:r>
      <w:r w:rsidR="00891516" w:rsidRPr="006552E9">
        <w:t xml:space="preserve"> </w:t>
      </w:r>
      <w:r w:rsidRPr="006552E9">
        <w:t>S Grant</w:t>
      </w:r>
    </w:p>
    <w:p w:rsidR="00393D23" w:rsidRPr="006552E9" w:rsidRDefault="00393D23" w:rsidP="00393D23">
      <w:pPr>
        <w:spacing w:before="0"/>
      </w:pPr>
      <w:r w:rsidRPr="006552E9">
        <w:t>Chair, Arts Council</w:t>
      </w:r>
    </w:p>
    <w:p w:rsidR="00393D23" w:rsidRPr="006552E9" w:rsidRDefault="00832980" w:rsidP="00393D23">
      <w:pPr>
        <w:spacing w:before="0"/>
      </w:pPr>
      <w:r>
        <w:t>31 October 2013</w:t>
      </w:r>
    </w:p>
    <w:p w:rsidR="00393D23" w:rsidRPr="006552E9" w:rsidRDefault="00393D23" w:rsidP="004E77B9"/>
    <w:p w:rsidR="00E64DBC" w:rsidRPr="006552E9" w:rsidRDefault="00A76AB5" w:rsidP="004E77B9">
      <w:r w:rsidRPr="006552E9">
        <w:rPr>
          <w:noProof/>
        </w:rPr>
        <w:drawing>
          <wp:inline distT="0" distB="0" distL="0" distR="0" wp14:anchorId="478CAC51" wp14:editId="7ABB778A">
            <wp:extent cx="2251710" cy="741680"/>
            <wp:effectExtent l="0" t="0" r="0" b="1270"/>
            <wp:docPr id="1" name="Picture 17" descr="Erima Henare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ima Henare Electronic 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10" cy="741680"/>
                    </a:xfrm>
                    <a:prstGeom prst="rect">
                      <a:avLst/>
                    </a:prstGeom>
                    <a:noFill/>
                    <a:ln>
                      <a:noFill/>
                    </a:ln>
                  </pic:spPr>
                </pic:pic>
              </a:graphicData>
            </a:graphic>
          </wp:inline>
        </w:drawing>
      </w:r>
    </w:p>
    <w:p w:rsidR="00DF5E3D" w:rsidRPr="006552E9" w:rsidRDefault="00834669" w:rsidP="00B83DB1">
      <w:pPr>
        <w:spacing w:before="0"/>
      </w:pPr>
      <w:r w:rsidRPr="006552E9">
        <w:t>Erima Henare</w:t>
      </w:r>
    </w:p>
    <w:p w:rsidR="006E1FE0" w:rsidRPr="006552E9" w:rsidRDefault="00E30A58" w:rsidP="00B83DB1">
      <w:pPr>
        <w:spacing w:before="0"/>
      </w:pPr>
      <w:r w:rsidRPr="006552E9">
        <w:t xml:space="preserve">Member, </w:t>
      </w:r>
      <w:r w:rsidR="00E86FF5" w:rsidRPr="006552E9">
        <w:t xml:space="preserve">Arts Council </w:t>
      </w:r>
    </w:p>
    <w:p w:rsidR="001C4B75" w:rsidRPr="006552E9" w:rsidRDefault="00832980" w:rsidP="00393D23">
      <w:pPr>
        <w:spacing w:before="0"/>
      </w:pPr>
      <w:r>
        <w:t>31 October 2013</w:t>
      </w:r>
    </w:p>
    <w:p w:rsidR="001C4B75" w:rsidRPr="006552E9" w:rsidRDefault="001C4B75" w:rsidP="001C4B75"/>
    <w:p w:rsidR="001C4B75" w:rsidRPr="006552E9" w:rsidRDefault="001C4B75" w:rsidP="001C4B75"/>
    <w:p w:rsidR="001C4B75" w:rsidRPr="006552E9" w:rsidRDefault="003D2106" w:rsidP="001C4B75">
      <w:pPr>
        <w:rPr>
          <w:rFonts w:ascii="Arial Black" w:hAnsi="Arial Black"/>
          <w:color w:val="365F91"/>
          <w:sz w:val="36"/>
          <w:szCs w:val="36"/>
        </w:rPr>
      </w:pPr>
      <w:r w:rsidRPr="006552E9">
        <w:br w:type="page"/>
      </w:r>
      <w:r w:rsidR="00C3453F" w:rsidRPr="006552E9">
        <w:rPr>
          <w:rFonts w:ascii="Arial Black" w:hAnsi="Arial Black"/>
          <w:color w:val="365F91"/>
          <w:sz w:val="36"/>
          <w:szCs w:val="36"/>
        </w:rPr>
        <w:t>CONTENTS | NGĀ IHIRANGI</w:t>
      </w:r>
    </w:p>
    <w:p w:rsidR="00E90738" w:rsidRDefault="00E22C83">
      <w:pPr>
        <w:pStyle w:val="TOC1"/>
        <w:rPr>
          <w:rFonts w:asciiTheme="minorHAnsi" w:eastAsiaTheme="minorEastAsia" w:hAnsiTheme="minorHAnsi" w:cstheme="minorBidi"/>
          <w:b w:val="0"/>
          <w:noProof/>
          <w:szCs w:val="22"/>
        </w:rPr>
      </w:pPr>
      <w:r>
        <w:fldChar w:fldCharType="begin"/>
      </w:r>
      <w:r>
        <w:instrText xml:space="preserve"> TOC \o "1-2" \h \z \t "Heading 3,3" </w:instrText>
      </w:r>
      <w:r>
        <w:fldChar w:fldCharType="separate"/>
      </w:r>
      <w:hyperlink w:anchor="_Toc373414989" w:history="1">
        <w:r w:rsidR="00E90738" w:rsidRPr="00AD20CC">
          <w:rPr>
            <w:rStyle w:val="Hyperlink"/>
            <w:noProof/>
          </w:rPr>
          <w:t>Our Chair and Chief Executive review the year |  Ngā tirohanga mai tō mātou tiamana, me te tumuaki nō tenei tau</w:t>
        </w:r>
        <w:r w:rsidR="00E90738">
          <w:rPr>
            <w:noProof/>
            <w:webHidden/>
          </w:rPr>
          <w:tab/>
        </w:r>
        <w:r w:rsidR="00E90738">
          <w:rPr>
            <w:noProof/>
            <w:webHidden/>
          </w:rPr>
          <w:fldChar w:fldCharType="begin"/>
        </w:r>
        <w:r w:rsidR="00E90738">
          <w:rPr>
            <w:noProof/>
            <w:webHidden/>
          </w:rPr>
          <w:instrText xml:space="preserve"> PAGEREF _Toc373414989 \h </w:instrText>
        </w:r>
        <w:r w:rsidR="00E90738">
          <w:rPr>
            <w:noProof/>
            <w:webHidden/>
          </w:rPr>
        </w:r>
        <w:r w:rsidR="00E90738">
          <w:rPr>
            <w:noProof/>
            <w:webHidden/>
          </w:rPr>
          <w:fldChar w:fldCharType="separate"/>
        </w:r>
        <w:r w:rsidR="00E90738">
          <w:rPr>
            <w:noProof/>
            <w:webHidden/>
          </w:rPr>
          <w:t>6</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4990" w:history="1">
        <w:r w:rsidR="00E90738" w:rsidRPr="00AD20CC">
          <w:rPr>
            <w:rStyle w:val="Hyperlink"/>
            <w:noProof/>
          </w:rPr>
          <w:t xml:space="preserve">PART ONE: THE YEAR IN REVIEW |  </w:t>
        </w:r>
        <w:r w:rsidR="00E90738" w:rsidRPr="00AD20CC">
          <w:rPr>
            <w:rStyle w:val="Hyperlink"/>
            <w:i/>
            <w:noProof/>
          </w:rPr>
          <w:t>TE TIROHANGA O TĒNEI TAU</w:t>
        </w:r>
        <w:r w:rsidR="00E90738">
          <w:rPr>
            <w:noProof/>
            <w:webHidden/>
          </w:rPr>
          <w:tab/>
        </w:r>
        <w:r w:rsidR="00E90738">
          <w:rPr>
            <w:noProof/>
            <w:webHidden/>
          </w:rPr>
          <w:fldChar w:fldCharType="begin"/>
        </w:r>
        <w:r w:rsidR="00E90738">
          <w:rPr>
            <w:noProof/>
            <w:webHidden/>
          </w:rPr>
          <w:instrText xml:space="preserve"> PAGEREF _Toc373414990 \h </w:instrText>
        </w:r>
        <w:r w:rsidR="00E90738">
          <w:rPr>
            <w:noProof/>
            <w:webHidden/>
          </w:rPr>
        </w:r>
        <w:r w:rsidR="00E90738">
          <w:rPr>
            <w:noProof/>
            <w:webHidden/>
          </w:rPr>
          <w:fldChar w:fldCharType="separate"/>
        </w:r>
        <w:r w:rsidR="00E90738">
          <w:rPr>
            <w:noProof/>
            <w:webHidden/>
          </w:rPr>
          <w:t>8</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4991" w:history="1">
        <w:r w:rsidR="00E90738" w:rsidRPr="00AD20CC">
          <w:rPr>
            <w:rStyle w:val="Hyperlink"/>
            <w:noProof/>
          </w:rPr>
          <w:t>Highlights and achievements |  Ngā miramira me ngā whakatutukitanga</w:t>
        </w:r>
        <w:r w:rsidR="00E90738">
          <w:rPr>
            <w:noProof/>
            <w:webHidden/>
          </w:rPr>
          <w:tab/>
        </w:r>
        <w:r w:rsidR="00E90738">
          <w:rPr>
            <w:noProof/>
            <w:webHidden/>
          </w:rPr>
          <w:fldChar w:fldCharType="begin"/>
        </w:r>
        <w:r w:rsidR="00E90738">
          <w:rPr>
            <w:noProof/>
            <w:webHidden/>
          </w:rPr>
          <w:instrText xml:space="preserve"> PAGEREF _Toc373414991 \h </w:instrText>
        </w:r>
        <w:r w:rsidR="00E90738">
          <w:rPr>
            <w:noProof/>
            <w:webHidden/>
          </w:rPr>
        </w:r>
        <w:r w:rsidR="00E90738">
          <w:rPr>
            <w:noProof/>
            <w:webHidden/>
          </w:rPr>
          <w:fldChar w:fldCharType="separate"/>
        </w:r>
        <w:r w:rsidR="00E90738">
          <w:rPr>
            <w:noProof/>
            <w:webHidden/>
          </w:rPr>
          <w:t>9</w:t>
        </w:r>
        <w:r w:rsidR="00E90738">
          <w:rPr>
            <w:noProof/>
            <w:webHidden/>
          </w:rPr>
          <w:fldChar w:fldCharType="end"/>
        </w:r>
      </w:hyperlink>
    </w:p>
    <w:p w:rsidR="00E90738" w:rsidRDefault="005D6E4A">
      <w:pPr>
        <w:pStyle w:val="TOC2"/>
        <w:rPr>
          <w:rFonts w:asciiTheme="minorHAnsi" w:eastAsiaTheme="minorEastAsia" w:hAnsiTheme="minorHAnsi" w:cstheme="minorBidi"/>
          <w:b w:val="0"/>
          <w:i w:val="0"/>
        </w:rPr>
      </w:pPr>
      <w:hyperlink w:anchor="_Toc373414992" w:history="1">
        <w:r w:rsidR="00E90738" w:rsidRPr="00AD20CC">
          <w:rPr>
            <w:rStyle w:val="Hyperlink"/>
          </w:rPr>
          <w:t>Summary of our activity in 2012/13</w:t>
        </w:r>
        <w:r w:rsidR="00E90738">
          <w:rPr>
            <w:webHidden/>
          </w:rPr>
          <w:tab/>
        </w:r>
        <w:r w:rsidR="00E90738">
          <w:rPr>
            <w:webHidden/>
          </w:rPr>
          <w:fldChar w:fldCharType="begin"/>
        </w:r>
        <w:r w:rsidR="00E90738">
          <w:rPr>
            <w:webHidden/>
          </w:rPr>
          <w:instrText xml:space="preserve"> PAGEREF _Toc373414992 \h </w:instrText>
        </w:r>
        <w:r w:rsidR="00E90738">
          <w:rPr>
            <w:webHidden/>
          </w:rPr>
        </w:r>
        <w:r w:rsidR="00E90738">
          <w:rPr>
            <w:webHidden/>
          </w:rPr>
          <w:fldChar w:fldCharType="separate"/>
        </w:r>
        <w:r w:rsidR="00E90738">
          <w:rPr>
            <w:webHidden/>
          </w:rPr>
          <w:t>9</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4993" w:history="1">
        <w:r w:rsidR="00E90738" w:rsidRPr="00AD20CC">
          <w:rPr>
            <w:rStyle w:val="Hyperlink"/>
          </w:rPr>
          <w:t>Summary of our key achievements</w:t>
        </w:r>
        <w:r w:rsidR="00E90738">
          <w:rPr>
            <w:webHidden/>
          </w:rPr>
          <w:tab/>
        </w:r>
        <w:r w:rsidR="00E90738">
          <w:rPr>
            <w:webHidden/>
          </w:rPr>
          <w:fldChar w:fldCharType="begin"/>
        </w:r>
        <w:r w:rsidR="00E90738">
          <w:rPr>
            <w:webHidden/>
          </w:rPr>
          <w:instrText xml:space="preserve"> PAGEREF _Toc373414993 \h </w:instrText>
        </w:r>
        <w:r w:rsidR="00E90738">
          <w:rPr>
            <w:webHidden/>
          </w:rPr>
        </w:r>
        <w:r w:rsidR="00E90738">
          <w:rPr>
            <w:webHidden/>
          </w:rPr>
          <w:fldChar w:fldCharType="separate"/>
        </w:r>
        <w:r w:rsidR="00E90738">
          <w:rPr>
            <w:webHidden/>
          </w:rPr>
          <w:t>10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4994" w:history="1">
        <w:r w:rsidR="00E90738" w:rsidRPr="00AD20CC">
          <w:rPr>
            <w:rStyle w:val="Hyperlink"/>
          </w:rPr>
          <w:t>Initiatives</w:t>
        </w:r>
        <w:r w:rsidR="00E90738">
          <w:rPr>
            <w:webHidden/>
          </w:rPr>
          <w:tab/>
        </w:r>
        <w:r w:rsidR="00E90738">
          <w:rPr>
            <w:webHidden/>
          </w:rPr>
          <w:fldChar w:fldCharType="begin"/>
        </w:r>
        <w:r w:rsidR="00E90738">
          <w:rPr>
            <w:webHidden/>
          </w:rPr>
          <w:instrText xml:space="preserve"> PAGEREF _Toc373414994 \h </w:instrText>
        </w:r>
        <w:r w:rsidR="00E90738">
          <w:rPr>
            <w:webHidden/>
          </w:rPr>
        </w:r>
        <w:r w:rsidR="00E90738">
          <w:rPr>
            <w:webHidden/>
          </w:rPr>
          <w:fldChar w:fldCharType="separate"/>
        </w:r>
        <w:r w:rsidR="00E90738">
          <w:rPr>
            <w:webHidden/>
          </w:rPr>
          <w:t>10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4995" w:history="1">
        <w:r w:rsidR="00E90738" w:rsidRPr="00AD20CC">
          <w:rPr>
            <w:rStyle w:val="Hyperlink"/>
          </w:rPr>
          <w:t>Policy development</w:t>
        </w:r>
        <w:r w:rsidR="00E90738">
          <w:rPr>
            <w:webHidden/>
          </w:rPr>
          <w:tab/>
        </w:r>
        <w:r w:rsidR="00E90738">
          <w:rPr>
            <w:webHidden/>
          </w:rPr>
          <w:fldChar w:fldCharType="begin"/>
        </w:r>
        <w:r w:rsidR="00E90738">
          <w:rPr>
            <w:webHidden/>
          </w:rPr>
          <w:instrText xml:space="preserve"> PAGEREF _Toc373414995 \h </w:instrText>
        </w:r>
        <w:r w:rsidR="00E90738">
          <w:rPr>
            <w:webHidden/>
          </w:rPr>
        </w:r>
        <w:r w:rsidR="00E90738">
          <w:rPr>
            <w:webHidden/>
          </w:rPr>
          <w:fldChar w:fldCharType="separate"/>
        </w:r>
        <w:r w:rsidR="00E90738">
          <w:rPr>
            <w:webHidden/>
          </w:rPr>
          <w:t>11</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4996" w:history="1">
        <w:r w:rsidR="00E90738" w:rsidRPr="00AD20CC">
          <w:rPr>
            <w:rStyle w:val="Hyperlink"/>
          </w:rPr>
          <w:t>Government priorities</w:t>
        </w:r>
        <w:r w:rsidR="00E90738">
          <w:rPr>
            <w:webHidden/>
          </w:rPr>
          <w:tab/>
        </w:r>
        <w:r w:rsidR="00E90738">
          <w:rPr>
            <w:webHidden/>
          </w:rPr>
          <w:fldChar w:fldCharType="begin"/>
        </w:r>
        <w:r w:rsidR="00E90738">
          <w:rPr>
            <w:webHidden/>
          </w:rPr>
          <w:instrText xml:space="preserve"> PAGEREF _Toc373414996 \h </w:instrText>
        </w:r>
        <w:r w:rsidR="00E90738">
          <w:rPr>
            <w:webHidden/>
          </w:rPr>
        </w:r>
        <w:r w:rsidR="00E90738">
          <w:rPr>
            <w:webHidden/>
          </w:rPr>
          <w:fldChar w:fldCharType="separate"/>
        </w:r>
        <w:r w:rsidR="00E90738">
          <w:rPr>
            <w:webHidden/>
          </w:rPr>
          <w:t>12</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4997" w:history="1">
        <w:r w:rsidR="00E90738" w:rsidRPr="00AD20CC">
          <w:rPr>
            <w:rStyle w:val="Hyperlink"/>
          </w:rPr>
          <w:t>Health of the arts sector</w:t>
        </w:r>
        <w:r w:rsidR="00E90738">
          <w:rPr>
            <w:webHidden/>
          </w:rPr>
          <w:tab/>
        </w:r>
        <w:r w:rsidR="00E90738">
          <w:rPr>
            <w:webHidden/>
          </w:rPr>
          <w:fldChar w:fldCharType="begin"/>
        </w:r>
        <w:r w:rsidR="00E90738">
          <w:rPr>
            <w:webHidden/>
          </w:rPr>
          <w:instrText xml:space="preserve"> PAGEREF _Toc373414997 \h </w:instrText>
        </w:r>
        <w:r w:rsidR="00E90738">
          <w:rPr>
            <w:webHidden/>
          </w:rPr>
        </w:r>
        <w:r w:rsidR="00E90738">
          <w:rPr>
            <w:webHidden/>
          </w:rPr>
          <w:fldChar w:fldCharType="separate"/>
        </w:r>
        <w:r w:rsidR="00E90738">
          <w:rPr>
            <w:webHidden/>
          </w:rPr>
          <w:t>15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4998" w:history="1">
        <w:r w:rsidR="00E90738" w:rsidRPr="00AD20CC">
          <w:rPr>
            <w:rStyle w:val="Hyperlink"/>
          </w:rPr>
          <w:t>Trends i</w:t>
        </w:r>
        <w:r w:rsidR="00E90738" w:rsidRPr="00AD20CC">
          <w:rPr>
            <w:rStyle w:val="Hyperlink"/>
          </w:rPr>
          <w:t>n</w:t>
        </w:r>
        <w:r w:rsidR="00E90738" w:rsidRPr="00AD20CC">
          <w:rPr>
            <w:rStyle w:val="Hyperlink"/>
          </w:rPr>
          <w:t xml:space="preserve"> our funding</w:t>
        </w:r>
        <w:r w:rsidR="00E90738">
          <w:rPr>
            <w:webHidden/>
          </w:rPr>
          <w:tab/>
        </w:r>
        <w:r w:rsidR="00E90738">
          <w:rPr>
            <w:webHidden/>
          </w:rPr>
          <w:fldChar w:fldCharType="begin"/>
        </w:r>
        <w:r w:rsidR="00E90738">
          <w:rPr>
            <w:webHidden/>
          </w:rPr>
          <w:instrText xml:space="preserve"> PAGEREF _Toc373414998 \h </w:instrText>
        </w:r>
        <w:r w:rsidR="00E90738">
          <w:rPr>
            <w:webHidden/>
          </w:rPr>
        </w:r>
        <w:r w:rsidR="00E90738">
          <w:rPr>
            <w:webHidden/>
          </w:rPr>
          <w:fldChar w:fldCharType="separate"/>
        </w:r>
        <w:r w:rsidR="00E90738">
          <w:rPr>
            <w:webHidden/>
          </w:rPr>
          <w:t>16</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4999" w:history="1">
        <w:r w:rsidR="00E90738" w:rsidRPr="00AD20CC">
          <w:rPr>
            <w:rStyle w:val="Hyperlink"/>
          </w:rPr>
          <w:t>Looking forward</w:t>
        </w:r>
        <w:r w:rsidR="00E90738">
          <w:rPr>
            <w:webHidden/>
          </w:rPr>
          <w:tab/>
        </w:r>
        <w:r w:rsidR="00E90738">
          <w:rPr>
            <w:webHidden/>
          </w:rPr>
          <w:fldChar w:fldCharType="begin"/>
        </w:r>
        <w:r w:rsidR="00E90738">
          <w:rPr>
            <w:webHidden/>
          </w:rPr>
          <w:instrText xml:space="preserve"> PAGEREF _Toc373414999 \h </w:instrText>
        </w:r>
        <w:r w:rsidR="00E90738">
          <w:rPr>
            <w:webHidden/>
          </w:rPr>
        </w:r>
        <w:r w:rsidR="00E90738">
          <w:rPr>
            <w:webHidden/>
          </w:rPr>
          <w:fldChar w:fldCharType="separate"/>
        </w:r>
        <w:r w:rsidR="00E90738">
          <w:rPr>
            <w:webHidden/>
          </w:rPr>
          <w:t>19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0" w:history="1">
        <w:r w:rsidR="00E90738" w:rsidRPr="00AD20CC">
          <w:rPr>
            <w:rStyle w:val="Hyperlink"/>
          </w:rPr>
          <w:t>Strategic Plan direction</w:t>
        </w:r>
        <w:r w:rsidR="00E90738">
          <w:rPr>
            <w:webHidden/>
          </w:rPr>
          <w:tab/>
        </w:r>
        <w:r w:rsidR="00E90738">
          <w:rPr>
            <w:webHidden/>
          </w:rPr>
          <w:fldChar w:fldCharType="begin"/>
        </w:r>
        <w:r w:rsidR="00E90738">
          <w:rPr>
            <w:webHidden/>
          </w:rPr>
          <w:instrText xml:space="preserve"> PAGEREF _Toc373415000 \h </w:instrText>
        </w:r>
        <w:r w:rsidR="00E90738">
          <w:rPr>
            <w:webHidden/>
          </w:rPr>
        </w:r>
        <w:r w:rsidR="00E90738">
          <w:rPr>
            <w:webHidden/>
          </w:rPr>
          <w:fldChar w:fldCharType="separate"/>
        </w:r>
        <w:r w:rsidR="00E90738">
          <w:rPr>
            <w:webHidden/>
          </w:rPr>
          <w:t>19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1" w:history="1">
        <w:r w:rsidR="00E90738" w:rsidRPr="00AD20CC">
          <w:rPr>
            <w:rStyle w:val="Hyperlink"/>
          </w:rPr>
          <w:t>Grants and customer management system</w:t>
        </w:r>
        <w:r w:rsidR="00E90738">
          <w:rPr>
            <w:webHidden/>
          </w:rPr>
          <w:tab/>
        </w:r>
        <w:r w:rsidR="00E90738">
          <w:rPr>
            <w:webHidden/>
          </w:rPr>
          <w:fldChar w:fldCharType="begin"/>
        </w:r>
        <w:r w:rsidR="00E90738">
          <w:rPr>
            <w:webHidden/>
          </w:rPr>
          <w:instrText xml:space="preserve"> PAGEREF _Toc373415001 \h </w:instrText>
        </w:r>
        <w:r w:rsidR="00E90738">
          <w:rPr>
            <w:webHidden/>
          </w:rPr>
        </w:r>
        <w:r w:rsidR="00E90738">
          <w:rPr>
            <w:webHidden/>
          </w:rPr>
          <w:fldChar w:fldCharType="separate"/>
        </w:r>
        <w:r w:rsidR="00E90738">
          <w:rPr>
            <w:webHidden/>
          </w:rPr>
          <w:t>19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2" w:history="1">
        <w:r w:rsidR="00E90738" w:rsidRPr="00AD20CC">
          <w:rPr>
            <w:rStyle w:val="Hyperlink"/>
          </w:rPr>
          <w:t>Old Public Trust Building</w:t>
        </w:r>
        <w:r w:rsidR="00E90738">
          <w:rPr>
            <w:webHidden/>
          </w:rPr>
          <w:tab/>
        </w:r>
        <w:r w:rsidR="00E90738">
          <w:rPr>
            <w:webHidden/>
          </w:rPr>
          <w:fldChar w:fldCharType="begin"/>
        </w:r>
        <w:r w:rsidR="00E90738">
          <w:rPr>
            <w:webHidden/>
          </w:rPr>
          <w:instrText xml:space="preserve"> PAGEREF _Toc373415002 \h </w:instrText>
        </w:r>
        <w:r w:rsidR="00E90738">
          <w:rPr>
            <w:webHidden/>
          </w:rPr>
        </w:r>
        <w:r w:rsidR="00E90738">
          <w:rPr>
            <w:webHidden/>
          </w:rPr>
          <w:fldChar w:fldCharType="separate"/>
        </w:r>
        <w:r w:rsidR="00E90738">
          <w:rPr>
            <w:webHidden/>
          </w:rPr>
          <w:t>20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3" w:history="1">
        <w:r w:rsidR="00E90738" w:rsidRPr="00AD20CC">
          <w:rPr>
            <w:rStyle w:val="Hyperlink"/>
          </w:rPr>
          <w:t>Arts Council of New Zealand Toi Aotearoa Bill</w:t>
        </w:r>
        <w:r w:rsidR="00E90738">
          <w:rPr>
            <w:webHidden/>
          </w:rPr>
          <w:tab/>
        </w:r>
        <w:r w:rsidR="00E90738">
          <w:rPr>
            <w:webHidden/>
          </w:rPr>
          <w:fldChar w:fldCharType="begin"/>
        </w:r>
        <w:r w:rsidR="00E90738">
          <w:rPr>
            <w:webHidden/>
          </w:rPr>
          <w:instrText xml:space="preserve"> PAGEREF _Toc373415003 \h </w:instrText>
        </w:r>
        <w:r w:rsidR="00E90738">
          <w:rPr>
            <w:webHidden/>
          </w:rPr>
        </w:r>
        <w:r w:rsidR="00E90738">
          <w:rPr>
            <w:webHidden/>
          </w:rPr>
          <w:fldChar w:fldCharType="separate"/>
        </w:r>
        <w:r w:rsidR="00E90738">
          <w:rPr>
            <w:webHidden/>
          </w:rPr>
          <w:t>20</w:t>
        </w:r>
        <w:r w:rsidR="00E90738">
          <w:rPr>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04" w:history="1">
        <w:r w:rsidR="00E90738" w:rsidRPr="00AD20CC">
          <w:rPr>
            <w:rStyle w:val="Hyperlink"/>
            <w:noProof/>
          </w:rPr>
          <w:t>PART TWO: STATEMENT OF NON-FINANCIAL PERFORMANCE | PŪRONGO WHAKATUTUKI KORE PŪTEA</w:t>
        </w:r>
        <w:r w:rsidR="00E90738">
          <w:rPr>
            <w:noProof/>
            <w:webHidden/>
          </w:rPr>
          <w:tab/>
        </w:r>
        <w:r w:rsidR="00E90738">
          <w:rPr>
            <w:noProof/>
            <w:webHidden/>
          </w:rPr>
          <w:fldChar w:fldCharType="begin"/>
        </w:r>
        <w:r w:rsidR="00E90738">
          <w:rPr>
            <w:noProof/>
            <w:webHidden/>
          </w:rPr>
          <w:instrText xml:space="preserve"> PAGEREF _Toc373415004 \h </w:instrText>
        </w:r>
        <w:r w:rsidR="00E90738">
          <w:rPr>
            <w:noProof/>
            <w:webHidden/>
          </w:rPr>
        </w:r>
        <w:r w:rsidR="00E90738">
          <w:rPr>
            <w:noProof/>
            <w:webHidden/>
          </w:rPr>
          <w:fldChar w:fldCharType="separate"/>
        </w:r>
        <w:r w:rsidR="00E90738">
          <w:rPr>
            <w:noProof/>
            <w:webHidden/>
          </w:rPr>
          <w:t>21</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05" w:history="1">
        <w:r w:rsidR="00E90738" w:rsidRPr="00AD20CC">
          <w:rPr>
            <w:rStyle w:val="Hyperlink"/>
            <w:noProof/>
          </w:rPr>
          <w:t>Performance against strategic outcomes | Ngā tairitenga me ngā whakaritenga hua o te rautaki</w:t>
        </w:r>
        <w:r w:rsidR="00E90738">
          <w:rPr>
            <w:noProof/>
            <w:webHidden/>
          </w:rPr>
          <w:tab/>
        </w:r>
        <w:r w:rsidR="00E90738">
          <w:rPr>
            <w:noProof/>
            <w:webHidden/>
          </w:rPr>
          <w:fldChar w:fldCharType="begin"/>
        </w:r>
        <w:r w:rsidR="00E90738">
          <w:rPr>
            <w:noProof/>
            <w:webHidden/>
          </w:rPr>
          <w:instrText xml:space="preserve"> PAGEREF _Toc373415005 \h </w:instrText>
        </w:r>
        <w:r w:rsidR="00E90738">
          <w:rPr>
            <w:noProof/>
            <w:webHidden/>
          </w:rPr>
        </w:r>
        <w:r w:rsidR="00E90738">
          <w:rPr>
            <w:noProof/>
            <w:webHidden/>
          </w:rPr>
          <w:fldChar w:fldCharType="separate"/>
        </w:r>
        <w:r w:rsidR="00E90738">
          <w:rPr>
            <w:noProof/>
            <w:webHidden/>
          </w:rPr>
          <w:t>22</w:t>
        </w:r>
        <w:r w:rsidR="00E90738">
          <w:rPr>
            <w:noProof/>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06" w:history="1">
        <w:r w:rsidR="00E90738" w:rsidRPr="00AD20CC">
          <w:rPr>
            <w:rStyle w:val="Hyperlink"/>
          </w:rPr>
          <w:t>Summary</w:t>
        </w:r>
        <w:r w:rsidR="00E90738">
          <w:rPr>
            <w:webHidden/>
          </w:rPr>
          <w:tab/>
        </w:r>
        <w:r w:rsidR="00E90738">
          <w:rPr>
            <w:webHidden/>
          </w:rPr>
          <w:fldChar w:fldCharType="begin"/>
        </w:r>
        <w:r w:rsidR="00E90738">
          <w:rPr>
            <w:webHidden/>
          </w:rPr>
          <w:instrText xml:space="preserve"> PAGEREF _Toc373415006 \h </w:instrText>
        </w:r>
        <w:r w:rsidR="00E90738">
          <w:rPr>
            <w:webHidden/>
          </w:rPr>
        </w:r>
        <w:r w:rsidR="00E90738">
          <w:rPr>
            <w:webHidden/>
          </w:rPr>
          <w:fldChar w:fldCharType="separate"/>
        </w:r>
        <w:r w:rsidR="00E90738">
          <w:rPr>
            <w:webHidden/>
          </w:rPr>
          <w:t>22</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07" w:history="1">
        <w:r w:rsidR="00E90738" w:rsidRPr="00AD20CC">
          <w:rPr>
            <w:rStyle w:val="Hyperlink"/>
          </w:rPr>
          <w:t>Outcome 1: New Zealanders participate in the arts</w:t>
        </w:r>
        <w:r w:rsidR="00E90738">
          <w:rPr>
            <w:webHidden/>
          </w:rPr>
          <w:tab/>
        </w:r>
        <w:r w:rsidR="00E90738">
          <w:rPr>
            <w:webHidden/>
          </w:rPr>
          <w:fldChar w:fldCharType="begin"/>
        </w:r>
        <w:r w:rsidR="00E90738">
          <w:rPr>
            <w:webHidden/>
          </w:rPr>
          <w:instrText xml:space="preserve"> PAGEREF _Toc373415007 \h </w:instrText>
        </w:r>
        <w:r w:rsidR="00E90738">
          <w:rPr>
            <w:webHidden/>
          </w:rPr>
        </w:r>
        <w:r w:rsidR="00E90738">
          <w:rPr>
            <w:webHidden/>
          </w:rPr>
          <w:fldChar w:fldCharType="separate"/>
        </w:r>
        <w:r w:rsidR="00E90738">
          <w:rPr>
            <w:webHidden/>
          </w:rPr>
          <w:t>24</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8" w:history="1">
        <w:r w:rsidR="00E90738" w:rsidRPr="00AD20CC">
          <w:rPr>
            <w:rStyle w:val="Hyperlink"/>
          </w:rPr>
          <w:t>Our stories from 2012/13</w:t>
        </w:r>
        <w:r w:rsidR="00E90738">
          <w:rPr>
            <w:webHidden/>
          </w:rPr>
          <w:tab/>
        </w:r>
        <w:r w:rsidR="00E90738">
          <w:rPr>
            <w:webHidden/>
          </w:rPr>
          <w:fldChar w:fldCharType="begin"/>
        </w:r>
        <w:r w:rsidR="00E90738">
          <w:rPr>
            <w:webHidden/>
          </w:rPr>
          <w:instrText xml:space="preserve"> PAGEREF _Toc373415008 \h </w:instrText>
        </w:r>
        <w:r w:rsidR="00E90738">
          <w:rPr>
            <w:webHidden/>
          </w:rPr>
        </w:r>
        <w:r w:rsidR="00E90738">
          <w:rPr>
            <w:webHidden/>
          </w:rPr>
          <w:fldChar w:fldCharType="separate"/>
        </w:r>
        <w:r w:rsidR="00E90738">
          <w:rPr>
            <w:webHidden/>
          </w:rPr>
          <w:t>24</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09" w:history="1">
        <w:r w:rsidR="00E90738" w:rsidRPr="00AD20CC">
          <w:rPr>
            <w:rStyle w:val="Hyperlink"/>
          </w:rPr>
          <w:t>What we were seeking to achieve</w:t>
        </w:r>
        <w:r w:rsidR="00E90738">
          <w:rPr>
            <w:webHidden/>
          </w:rPr>
          <w:tab/>
        </w:r>
        <w:r w:rsidR="00E90738">
          <w:rPr>
            <w:webHidden/>
          </w:rPr>
          <w:fldChar w:fldCharType="begin"/>
        </w:r>
        <w:r w:rsidR="00E90738">
          <w:rPr>
            <w:webHidden/>
          </w:rPr>
          <w:instrText xml:space="preserve"> PAGEREF _Toc373415009 \h </w:instrText>
        </w:r>
        <w:r w:rsidR="00E90738">
          <w:rPr>
            <w:webHidden/>
          </w:rPr>
        </w:r>
        <w:r w:rsidR="00E90738">
          <w:rPr>
            <w:webHidden/>
          </w:rPr>
          <w:fldChar w:fldCharType="separate"/>
        </w:r>
        <w:r w:rsidR="00E90738">
          <w:rPr>
            <w:webHidden/>
          </w:rPr>
          <w:t>25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0" w:history="1">
        <w:r w:rsidR="00E90738" w:rsidRPr="00AD20CC">
          <w:rPr>
            <w:rStyle w:val="Hyperlink"/>
          </w:rPr>
          <w:t>What we did</w:t>
        </w:r>
        <w:r w:rsidR="00E90738">
          <w:rPr>
            <w:webHidden/>
          </w:rPr>
          <w:tab/>
        </w:r>
        <w:r w:rsidR="00E90738">
          <w:rPr>
            <w:webHidden/>
          </w:rPr>
          <w:fldChar w:fldCharType="begin"/>
        </w:r>
        <w:r w:rsidR="00E90738">
          <w:rPr>
            <w:webHidden/>
          </w:rPr>
          <w:instrText xml:space="preserve"> PAGEREF _Toc373415010 \h </w:instrText>
        </w:r>
        <w:r w:rsidR="00E90738">
          <w:rPr>
            <w:webHidden/>
          </w:rPr>
        </w:r>
        <w:r w:rsidR="00E90738">
          <w:rPr>
            <w:webHidden/>
          </w:rPr>
          <w:fldChar w:fldCharType="separate"/>
        </w:r>
        <w:r w:rsidR="00E90738">
          <w:rPr>
            <w:webHidden/>
          </w:rPr>
          <w:t>25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1" w:history="1">
        <w:r w:rsidR="00E90738" w:rsidRPr="00AD20CC">
          <w:rPr>
            <w:rStyle w:val="Hyperlink"/>
          </w:rPr>
          <w:t>How we performed</w:t>
        </w:r>
        <w:r w:rsidR="00E90738">
          <w:rPr>
            <w:webHidden/>
          </w:rPr>
          <w:tab/>
        </w:r>
        <w:r w:rsidR="00E90738">
          <w:rPr>
            <w:webHidden/>
          </w:rPr>
          <w:fldChar w:fldCharType="begin"/>
        </w:r>
        <w:r w:rsidR="00E90738">
          <w:rPr>
            <w:webHidden/>
          </w:rPr>
          <w:instrText xml:space="preserve"> PAGEREF _Toc373415011 \h </w:instrText>
        </w:r>
        <w:r w:rsidR="00E90738">
          <w:rPr>
            <w:webHidden/>
          </w:rPr>
        </w:r>
        <w:r w:rsidR="00E90738">
          <w:rPr>
            <w:webHidden/>
          </w:rPr>
          <w:fldChar w:fldCharType="separate"/>
        </w:r>
        <w:r w:rsidR="00E90738">
          <w:rPr>
            <w:webHidden/>
          </w:rPr>
          <w:t>26</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12" w:history="1">
        <w:r w:rsidR="00E90738" w:rsidRPr="00AD20CC">
          <w:rPr>
            <w:rStyle w:val="Hyperlink"/>
          </w:rPr>
          <w:t>Outcome 2: High-quality New Zealand art is developed</w:t>
        </w:r>
        <w:r w:rsidR="00E90738">
          <w:rPr>
            <w:webHidden/>
          </w:rPr>
          <w:tab/>
        </w:r>
        <w:r w:rsidR="00E90738">
          <w:rPr>
            <w:webHidden/>
          </w:rPr>
          <w:fldChar w:fldCharType="begin"/>
        </w:r>
        <w:r w:rsidR="00E90738">
          <w:rPr>
            <w:webHidden/>
          </w:rPr>
          <w:instrText xml:space="preserve"> PAGEREF _Toc373415012 \h </w:instrText>
        </w:r>
        <w:r w:rsidR="00E90738">
          <w:rPr>
            <w:webHidden/>
          </w:rPr>
        </w:r>
        <w:r w:rsidR="00E90738">
          <w:rPr>
            <w:webHidden/>
          </w:rPr>
          <w:fldChar w:fldCharType="separate"/>
        </w:r>
        <w:r w:rsidR="00E90738">
          <w:rPr>
            <w:webHidden/>
          </w:rPr>
          <w:t>28</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3" w:history="1">
        <w:r w:rsidR="00E90738" w:rsidRPr="00AD20CC">
          <w:rPr>
            <w:rStyle w:val="Hyperlink"/>
          </w:rPr>
          <w:t>Our stories from 2012/13</w:t>
        </w:r>
        <w:r w:rsidR="00E90738">
          <w:rPr>
            <w:webHidden/>
          </w:rPr>
          <w:tab/>
        </w:r>
        <w:r w:rsidR="00E90738">
          <w:rPr>
            <w:webHidden/>
          </w:rPr>
          <w:fldChar w:fldCharType="begin"/>
        </w:r>
        <w:r w:rsidR="00E90738">
          <w:rPr>
            <w:webHidden/>
          </w:rPr>
          <w:instrText xml:space="preserve"> PAGEREF _Toc373415013 \h </w:instrText>
        </w:r>
        <w:r w:rsidR="00E90738">
          <w:rPr>
            <w:webHidden/>
          </w:rPr>
        </w:r>
        <w:r w:rsidR="00E90738">
          <w:rPr>
            <w:webHidden/>
          </w:rPr>
          <w:fldChar w:fldCharType="separate"/>
        </w:r>
        <w:r w:rsidR="00E90738">
          <w:rPr>
            <w:webHidden/>
          </w:rPr>
          <w:t>28</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4" w:history="1">
        <w:r w:rsidR="00E90738" w:rsidRPr="00AD20CC">
          <w:rPr>
            <w:rStyle w:val="Hyperlink"/>
          </w:rPr>
          <w:t>What we were seeking to achieve</w:t>
        </w:r>
        <w:r w:rsidR="00E90738">
          <w:rPr>
            <w:webHidden/>
          </w:rPr>
          <w:tab/>
        </w:r>
        <w:r w:rsidR="00E90738">
          <w:rPr>
            <w:webHidden/>
          </w:rPr>
          <w:fldChar w:fldCharType="begin"/>
        </w:r>
        <w:r w:rsidR="00E90738">
          <w:rPr>
            <w:webHidden/>
          </w:rPr>
          <w:instrText xml:space="preserve"> PAGEREF _Toc373415014 \h </w:instrText>
        </w:r>
        <w:r w:rsidR="00E90738">
          <w:rPr>
            <w:webHidden/>
          </w:rPr>
        </w:r>
        <w:r w:rsidR="00E90738">
          <w:rPr>
            <w:webHidden/>
          </w:rPr>
          <w:fldChar w:fldCharType="separate"/>
        </w:r>
        <w:r w:rsidR="00E90738">
          <w:rPr>
            <w:webHidden/>
          </w:rPr>
          <w:t>29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5" w:history="1">
        <w:r w:rsidR="00E90738" w:rsidRPr="00AD20CC">
          <w:rPr>
            <w:rStyle w:val="Hyperlink"/>
          </w:rPr>
          <w:t>What we did</w:t>
        </w:r>
        <w:r w:rsidR="00E90738">
          <w:rPr>
            <w:webHidden/>
          </w:rPr>
          <w:tab/>
        </w:r>
        <w:r w:rsidR="00E90738">
          <w:rPr>
            <w:webHidden/>
          </w:rPr>
          <w:fldChar w:fldCharType="begin"/>
        </w:r>
        <w:r w:rsidR="00E90738">
          <w:rPr>
            <w:webHidden/>
          </w:rPr>
          <w:instrText xml:space="preserve"> PAGEREF _Toc373415015 \h </w:instrText>
        </w:r>
        <w:r w:rsidR="00E90738">
          <w:rPr>
            <w:webHidden/>
          </w:rPr>
        </w:r>
        <w:r w:rsidR="00E90738">
          <w:rPr>
            <w:webHidden/>
          </w:rPr>
          <w:fldChar w:fldCharType="separate"/>
        </w:r>
        <w:r w:rsidR="00E90738">
          <w:rPr>
            <w:webHidden/>
          </w:rPr>
          <w:t>29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6" w:history="1">
        <w:r w:rsidR="00E90738" w:rsidRPr="00AD20CC">
          <w:rPr>
            <w:rStyle w:val="Hyperlink"/>
          </w:rPr>
          <w:t>How we performed</w:t>
        </w:r>
        <w:r w:rsidR="00E90738">
          <w:rPr>
            <w:webHidden/>
          </w:rPr>
          <w:tab/>
        </w:r>
        <w:r w:rsidR="00E90738">
          <w:rPr>
            <w:webHidden/>
          </w:rPr>
          <w:fldChar w:fldCharType="begin"/>
        </w:r>
        <w:r w:rsidR="00E90738">
          <w:rPr>
            <w:webHidden/>
          </w:rPr>
          <w:instrText xml:space="preserve"> PAGEREF _Toc373415016 \h </w:instrText>
        </w:r>
        <w:r w:rsidR="00E90738">
          <w:rPr>
            <w:webHidden/>
          </w:rPr>
        </w:r>
        <w:r w:rsidR="00E90738">
          <w:rPr>
            <w:webHidden/>
          </w:rPr>
          <w:fldChar w:fldCharType="separate"/>
        </w:r>
        <w:r w:rsidR="00E90738">
          <w:rPr>
            <w:webHidden/>
          </w:rPr>
          <w:t>30</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17" w:history="1">
        <w:r w:rsidR="00E90738" w:rsidRPr="00AD20CC">
          <w:rPr>
            <w:rStyle w:val="Hyperlink"/>
          </w:rPr>
          <w:t>Outcome 3: New Zealanders experience high-quality arts</w:t>
        </w:r>
        <w:r w:rsidR="00E90738">
          <w:rPr>
            <w:webHidden/>
          </w:rPr>
          <w:tab/>
        </w:r>
        <w:r w:rsidR="00E90738">
          <w:rPr>
            <w:webHidden/>
          </w:rPr>
          <w:fldChar w:fldCharType="begin"/>
        </w:r>
        <w:r w:rsidR="00E90738">
          <w:rPr>
            <w:webHidden/>
          </w:rPr>
          <w:instrText xml:space="preserve"> PAGEREF _Toc373415017 \h </w:instrText>
        </w:r>
        <w:r w:rsidR="00E90738">
          <w:rPr>
            <w:webHidden/>
          </w:rPr>
        </w:r>
        <w:r w:rsidR="00E90738">
          <w:rPr>
            <w:webHidden/>
          </w:rPr>
          <w:fldChar w:fldCharType="separate"/>
        </w:r>
        <w:r w:rsidR="00E90738">
          <w:rPr>
            <w:webHidden/>
          </w:rPr>
          <w:t>32</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8" w:history="1">
        <w:r w:rsidR="00E90738" w:rsidRPr="00AD20CC">
          <w:rPr>
            <w:rStyle w:val="Hyperlink"/>
          </w:rPr>
          <w:t>Our stories from 2012/13</w:t>
        </w:r>
        <w:r w:rsidR="00E90738">
          <w:rPr>
            <w:webHidden/>
          </w:rPr>
          <w:tab/>
        </w:r>
        <w:r w:rsidR="00E90738">
          <w:rPr>
            <w:webHidden/>
          </w:rPr>
          <w:fldChar w:fldCharType="begin"/>
        </w:r>
        <w:r w:rsidR="00E90738">
          <w:rPr>
            <w:webHidden/>
          </w:rPr>
          <w:instrText xml:space="preserve"> PAGEREF _Toc373415018 \h </w:instrText>
        </w:r>
        <w:r w:rsidR="00E90738">
          <w:rPr>
            <w:webHidden/>
          </w:rPr>
        </w:r>
        <w:r w:rsidR="00E90738">
          <w:rPr>
            <w:webHidden/>
          </w:rPr>
          <w:fldChar w:fldCharType="separate"/>
        </w:r>
        <w:r w:rsidR="00E90738">
          <w:rPr>
            <w:webHidden/>
          </w:rPr>
          <w:t>32</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19" w:history="1">
        <w:r w:rsidR="00E90738" w:rsidRPr="00AD20CC">
          <w:rPr>
            <w:rStyle w:val="Hyperlink"/>
          </w:rPr>
          <w:t>What we were seeking to achieve</w:t>
        </w:r>
        <w:r w:rsidR="00E90738">
          <w:rPr>
            <w:webHidden/>
          </w:rPr>
          <w:tab/>
        </w:r>
        <w:r w:rsidR="00E90738">
          <w:rPr>
            <w:webHidden/>
          </w:rPr>
          <w:fldChar w:fldCharType="begin"/>
        </w:r>
        <w:r w:rsidR="00E90738">
          <w:rPr>
            <w:webHidden/>
          </w:rPr>
          <w:instrText xml:space="preserve"> PAGEREF _Toc373415019 \h </w:instrText>
        </w:r>
        <w:r w:rsidR="00E90738">
          <w:rPr>
            <w:webHidden/>
          </w:rPr>
        </w:r>
        <w:r w:rsidR="00E90738">
          <w:rPr>
            <w:webHidden/>
          </w:rPr>
          <w:fldChar w:fldCharType="separate"/>
        </w:r>
        <w:r w:rsidR="00E90738">
          <w:rPr>
            <w:webHidden/>
          </w:rPr>
          <w:t>33</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0" w:history="1">
        <w:r w:rsidR="00E90738" w:rsidRPr="00AD20CC">
          <w:rPr>
            <w:rStyle w:val="Hyperlink"/>
          </w:rPr>
          <w:t>What we did</w:t>
        </w:r>
        <w:r w:rsidR="00E90738">
          <w:rPr>
            <w:webHidden/>
          </w:rPr>
          <w:tab/>
        </w:r>
        <w:r w:rsidR="00E90738">
          <w:rPr>
            <w:webHidden/>
          </w:rPr>
          <w:fldChar w:fldCharType="begin"/>
        </w:r>
        <w:r w:rsidR="00E90738">
          <w:rPr>
            <w:webHidden/>
          </w:rPr>
          <w:instrText xml:space="preserve"> PAGEREF _Toc373415020 \h </w:instrText>
        </w:r>
        <w:r w:rsidR="00E90738">
          <w:rPr>
            <w:webHidden/>
          </w:rPr>
        </w:r>
        <w:r w:rsidR="00E90738">
          <w:rPr>
            <w:webHidden/>
          </w:rPr>
          <w:fldChar w:fldCharType="separate"/>
        </w:r>
        <w:r w:rsidR="00E90738">
          <w:rPr>
            <w:webHidden/>
          </w:rPr>
          <w:t>33</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1" w:history="1">
        <w:r w:rsidR="00E90738" w:rsidRPr="00AD20CC">
          <w:rPr>
            <w:rStyle w:val="Hyperlink"/>
          </w:rPr>
          <w:t>How we performed</w:t>
        </w:r>
        <w:r w:rsidR="00E90738">
          <w:rPr>
            <w:webHidden/>
          </w:rPr>
          <w:tab/>
        </w:r>
        <w:r w:rsidR="00E90738">
          <w:rPr>
            <w:webHidden/>
          </w:rPr>
          <w:fldChar w:fldCharType="begin"/>
        </w:r>
        <w:r w:rsidR="00E90738">
          <w:rPr>
            <w:webHidden/>
          </w:rPr>
          <w:instrText xml:space="preserve"> PAGEREF _Toc373415021 \h </w:instrText>
        </w:r>
        <w:r w:rsidR="00E90738">
          <w:rPr>
            <w:webHidden/>
          </w:rPr>
        </w:r>
        <w:r w:rsidR="00E90738">
          <w:rPr>
            <w:webHidden/>
          </w:rPr>
          <w:fldChar w:fldCharType="separate"/>
        </w:r>
        <w:r w:rsidR="00E90738">
          <w:rPr>
            <w:webHidden/>
          </w:rPr>
          <w:t>34</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22" w:history="1">
        <w:r w:rsidR="00E90738" w:rsidRPr="00AD20CC">
          <w:rPr>
            <w:rStyle w:val="Hyperlink"/>
          </w:rPr>
          <w:t>Outcome 4: New Zealand arts gain international success</w:t>
        </w:r>
        <w:r w:rsidR="00E90738">
          <w:rPr>
            <w:webHidden/>
          </w:rPr>
          <w:tab/>
        </w:r>
        <w:r w:rsidR="00E90738">
          <w:rPr>
            <w:webHidden/>
          </w:rPr>
          <w:fldChar w:fldCharType="begin"/>
        </w:r>
        <w:r w:rsidR="00E90738">
          <w:rPr>
            <w:webHidden/>
          </w:rPr>
          <w:instrText xml:space="preserve"> PAGEREF _Toc373415022 \h </w:instrText>
        </w:r>
        <w:r w:rsidR="00E90738">
          <w:rPr>
            <w:webHidden/>
          </w:rPr>
        </w:r>
        <w:r w:rsidR="00E90738">
          <w:rPr>
            <w:webHidden/>
          </w:rPr>
          <w:fldChar w:fldCharType="separate"/>
        </w:r>
        <w:r w:rsidR="00E90738">
          <w:rPr>
            <w:webHidden/>
          </w:rPr>
          <w:t>35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3" w:history="1">
        <w:r w:rsidR="00E90738" w:rsidRPr="00AD20CC">
          <w:rPr>
            <w:rStyle w:val="Hyperlink"/>
          </w:rPr>
          <w:t>Our stories from 2012/13</w:t>
        </w:r>
        <w:r w:rsidR="00E90738">
          <w:rPr>
            <w:webHidden/>
          </w:rPr>
          <w:tab/>
        </w:r>
        <w:r w:rsidR="00E90738">
          <w:rPr>
            <w:webHidden/>
          </w:rPr>
          <w:fldChar w:fldCharType="begin"/>
        </w:r>
        <w:r w:rsidR="00E90738">
          <w:rPr>
            <w:webHidden/>
          </w:rPr>
          <w:instrText xml:space="preserve"> PAGEREF _Toc373415023 \h </w:instrText>
        </w:r>
        <w:r w:rsidR="00E90738">
          <w:rPr>
            <w:webHidden/>
          </w:rPr>
        </w:r>
        <w:r w:rsidR="00E90738">
          <w:rPr>
            <w:webHidden/>
          </w:rPr>
          <w:fldChar w:fldCharType="separate"/>
        </w:r>
        <w:r w:rsidR="00E90738">
          <w:rPr>
            <w:webHidden/>
          </w:rPr>
          <w:t>35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4" w:history="1">
        <w:r w:rsidR="00E90738" w:rsidRPr="00AD20CC">
          <w:rPr>
            <w:rStyle w:val="Hyperlink"/>
          </w:rPr>
          <w:t>What we were seeking to achieve</w:t>
        </w:r>
        <w:r w:rsidR="00E90738">
          <w:rPr>
            <w:webHidden/>
          </w:rPr>
          <w:tab/>
        </w:r>
        <w:r w:rsidR="00E90738">
          <w:rPr>
            <w:webHidden/>
          </w:rPr>
          <w:fldChar w:fldCharType="begin"/>
        </w:r>
        <w:r w:rsidR="00E90738">
          <w:rPr>
            <w:webHidden/>
          </w:rPr>
          <w:instrText xml:space="preserve"> PAGEREF _Toc373415024 \h </w:instrText>
        </w:r>
        <w:r w:rsidR="00E90738">
          <w:rPr>
            <w:webHidden/>
          </w:rPr>
        </w:r>
        <w:r w:rsidR="00E90738">
          <w:rPr>
            <w:webHidden/>
          </w:rPr>
          <w:fldChar w:fldCharType="separate"/>
        </w:r>
        <w:r w:rsidR="00E90738">
          <w:rPr>
            <w:webHidden/>
          </w:rPr>
          <w:t>36</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5" w:history="1">
        <w:r w:rsidR="00E90738" w:rsidRPr="00AD20CC">
          <w:rPr>
            <w:rStyle w:val="Hyperlink"/>
          </w:rPr>
          <w:t>What we did</w:t>
        </w:r>
        <w:r w:rsidR="00E90738">
          <w:rPr>
            <w:webHidden/>
          </w:rPr>
          <w:tab/>
        </w:r>
        <w:r w:rsidR="00E90738">
          <w:rPr>
            <w:webHidden/>
          </w:rPr>
          <w:fldChar w:fldCharType="begin"/>
        </w:r>
        <w:r w:rsidR="00E90738">
          <w:rPr>
            <w:webHidden/>
          </w:rPr>
          <w:instrText xml:space="preserve"> PAGEREF _Toc373415025 \h </w:instrText>
        </w:r>
        <w:r w:rsidR="00E90738">
          <w:rPr>
            <w:webHidden/>
          </w:rPr>
        </w:r>
        <w:r w:rsidR="00E90738">
          <w:rPr>
            <w:webHidden/>
          </w:rPr>
          <w:fldChar w:fldCharType="separate"/>
        </w:r>
        <w:r w:rsidR="00E90738">
          <w:rPr>
            <w:webHidden/>
          </w:rPr>
          <w:t>36</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6" w:history="1">
        <w:r w:rsidR="00E90738" w:rsidRPr="00AD20CC">
          <w:rPr>
            <w:rStyle w:val="Hyperlink"/>
          </w:rPr>
          <w:t>How we performed</w:t>
        </w:r>
        <w:r w:rsidR="00E90738">
          <w:rPr>
            <w:webHidden/>
          </w:rPr>
          <w:tab/>
        </w:r>
        <w:r w:rsidR="00E90738">
          <w:rPr>
            <w:webHidden/>
          </w:rPr>
          <w:fldChar w:fldCharType="begin"/>
        </w:r>
        <w:r w:rsidR="00E90738">
          <w:rPr>
            <w:webHidden/>
          </w:rPr>
          <w:instrText xml:space="preserve"> PAGEREF _Toc373415026 \h </w:instrText>
        </w:r>
        <w:r w:rsidR="00E90738">
          <w:rPr>
            <w:webHidden/>
          </w:rPr>
        </w:r>
        <w:r w:rsidR="00E90738">
          <w:rPr>
            <w:webHidden/>
          </w:rPr>
          <w:fldChar w:fldCharType="separate"/>
        </w:r>
        <w:r w:rsidR="00E90738">
          <w:rPr>
            <w:webHidden/>
          </w:rPr>
          <w:t>37</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27" w:history="1">
        <w:r w:rsidR="00E90738" w:rsidRPr="00AD20CC">
          <w:rPr>
            <w:rStyle w:val="Hyperlink"/>
          </w:rPr>
          <w:t>Managing organisational health</w:t>
        </w:r>
        <w:r w:rsidR="00E90738">
          <w:rPr>
            <w:webHidden/>
          </w:rPr>
          <w:tab/>
        </w:r>
        <w:r w:rsidR="00E90738">
          <w:rPr>
            <w:webHidden/>
          </w:rPr>
          <w:fldChar w:fldCharType="begin"/>
        </w:r>
        <w:r w:rsidR="00E90738">
          <w:rPr>
            <w:webHidden/>
          </w:rPr>
          <w:instrText xml:space="preserve"> PAGEREF _Toc373415027 \h </w:instrText>
        </w:r>
        <w:r w:rsidR="00E90738">
          <w:rPr>
            <w:webHidden/>
          </w:rPr>
        </w:r>
        <w:r w:rsidR="00E90738">
          <w:rPr>
            <w:webHidden/>
          </w:rPr>
          <w:fldChar w:fldCharType="separate"/>
        </w:r>
        <w:r w:rsidR="00E90738">
          <w:rPr>
            <w:webHidden/>
          </w:rPr>
          <w:t>40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8" w:history="1">
        <w:r w:rsidR="00E90738" w:rsidRPr="00AD20CC">
          <w:rPr>
            <w:rStyle w:val="Hyperlink"/>
          </w:rPr>
          <w:t>Organisational culture</w:t>
        </w:r>
        <w:r w:rsidR="00E90738">
          <w:rPr>
            <w:webHidden/>
          </w:rPr>
          <w:tab/>
        </w:r>
        <w:r w:rsidR="00E90738">
          <w:rPr>
            <w:webHidden/>
          </w:rPr>
          <w:fldChar w:fldCharType="begin"/>
        </w:r>
        <w:r w:rsidR="00E90738">
          <w:rPr>
            <w:webHidden/>
          </w:rPr>
          <w:instrText xml:space="preserve"> PAGEREF _Toc373415028 \h </w:instrText>
        </w:r>
        <w:r w:rsidR="00E90738">
          <w:rPr>
            <w:webHidden/>
          </w:rPr>
        </w:r>
        <w:r w:rsidR="00E90738">
          <w:rPr>
            <w:webHidden/>
          </w:rPr>
          <w:fldChar w:fldCharType="separate"/>
        </w:r>
        <w:r w:rsidR="00E90738">
          <w:rPr>
            <w:webHidden/>
          </w:rPr>
          <w:t>40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29" w:history="1">
        <w:r w:rsidR="00E90738" w:rsidRPr="00AD20CC">
          <w:rPr>
            <w:rStyle w:val="Hyperlink"/>
          </w:rPr>
          <w:t>People</w:t>
        </w:r>
        <w:r w:rsidR="00E90738">
          <w:rPr>
            <w:webHidden/>
          </w:rPr>
          <w:tab/>
        </w:r>
        <w:r w:rsidR="00E90738">
          <w:rPr>
            <w:webHidden/>
          </w:rPr>
          <w:fldChar w:fldCharType="begin"/>
        </w:r>
        <w:r w:rsidR="00E90738">
          <w:rPr>
            <w:webHidden/>
          </w:rPr>
          <w:instrText xml:space="preserve"> PAGEREF _Toc373415029 \h </w:instrText>
        </w:r>
        <w:r w:rsidR="00E90738">
          <w:rPr>
            <w:webHidden/>
          </w:rPr>
        </w:r>
        <w:r w:rsidR="00E90738">
          <w:rPr>
            <w:webHidden/>
          </w:rPr>
          <w:fldChar w:fldCharType="separate"/>
        </w:r>
        <w:r w:rsidR="00E90738">
          <w:rPr>
            <w:webHidden/>
          </w:rPr>
          <w:t>40</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0" w:history="1">
        <w:r w:rsidR="00E90738" w:rsidRPr="00AD20CC">
          <w:rPr>
            <w:rStyle w:val="Hyperlink"/>
          </w:rPr>
          <w:t>Governance and management</w:t>
        </w:r>
        <w:r w:rsidR="00E90738">
          <w:rPr>
            <w:webHidden/>
          </w:rPr>
          <w:tab/>
        </w:r>
        <w:r w:rsidR="00E90738">
          <w:rPr>
            <w:webHidden/>
          </w:rPr>
          <w:fldChar w:fldCharType="begin"/>
        </w:r>
        <w:r w:rsidR="00E90738">
          <w:rPr>
            <w:webHidden/>
          </w:rPr>
          <w:instrText xml:space="preserve"> PAGEREF _Toc373415030 \h </w:instrText>
        </w:r>
        <w:r w:rsidR="00E90738">
          <w:rPr>
            <w:webHidden/>
          </w:rPr>
        </w:r>
        <w:r w:rsidR="00E90738">
          <w:rPr>
            <w:webHidden/>
          </w:rPr>
          <w:fldChar w:fldCharType="separate"/>
        </w:r>
        <w:r w:rsidR="00E90738">
          <w:rPr>
            <w:webHidden/>
          </w:rPr>
          <w:t>41</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1" w:history="1">
        <w:r w:rsidR="00E90738" w:rsidRPr="00AD20CC">
          <w:rPr>
            <w:rStyle w:val="Hyperlink"/>
          </w:rPr>
          <w:t>Structures and processes</w:t>
        </w:r>
        <w:r w:rsidR="00E90738">
          <w:rPr>
            <w:webHidden/>
          </w:rPr>
          <w:tab/>
        </w:r>
        <w:r w:rsidR="00E90738">
          <w:rPr>
            <w:webHidden/>
          </w:rPr>
          <w:fldChar w:fldCharType="begin"/>
        </w:r>
        <w:r w:rsidR="00E90738">
          <w:rPr>
            <w:webHidden/>
          </w:rPr>
          <w:instrText xml:space="preserve"> PAGEREF _Toc373415031 \h </w:instrText>
        </w:r>
        <w:r w:rsidR="00E90738">
          <w:rPr>
            <w:webHidden/>
          </w:rPr>
        </w:r>
        <w:r w:rsidR="00E90738">
          <w:rPr>
            <w:webHidden/>
          </w:rPr>
          <w:fldChar w:fldCharType="separate"/>
        </w:r>
        <w:r w:rsidR="00E90738">
          <w:rPr>
            <w:webHidden/>
          </w:rPr>
          <w:t>42</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2" w:history="1">
        <w:r w:rsidR="00E90738" w:rsidRPr="00AD20CC">
          <w:rPr>
            <w:rStyle w:val="Hyperlink"/>
          </w:rPr>
          <w:t>Equal Employment Opportunities (EEO) reporting</w:t>
        </w:r>
        <w:r w:rsidR="00E90738">
          <w:rPr>
            <w:webHidden/>
          </w:rPr>
          <w:tab/>
        </w:r>
        <w:r w:rsidR="00E90738">
          <w:rPr>
            <w:webHidden/>
          </w:rPr>
          <w:fldChar w:fldCharType="begin"/>
        </w:r>
        <w:r w:rsidR="00E90738">
          <w:rPr>
            <w:webHidden/>
          </w:rPr>
          <w:instrText xml:space="preserve"> PAGEREF _Toc373415032 \h </w:instrText>
        </w:r>
        <w:r w:rsidR="00E90738">
          <w:rPr>
            <w:webHidden/>
          </w:rPr>
        </w:r>
        <w:r w:rsidR="00E90738">
          <w:rPr>
            <w:webHidden/>
          </w:rPr>
          <w:fldChar w:fldCharType="separate"/>
        </w:r>
        <w:r w:rsidR="00E90738">
          <w:rPr>
            <w:webHidden/>
          </w:rPr>
          <w:t>42</w:t>
        </w:r>
        <w:r w:rsidR="00E90738">
          <w:rPr>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33" w:history="1">
        <w:r w:rsidR="00E90738" w:rsidRPr="00AD20CC">
          <w:rPr>
            <w:rStyle w:val="Hyperlink"/>
            <w:noProof/>
          </w:rPr>
          <w:t>Performance against Output Areas | Te whakatutuki ki ngā hua ka puta</w:t>
        </w:r>
        <w:r w:rsidR="00E90738">
          <w:rPr>
            <w:noProof/>
            <w:webHidden/>
          </w:rPr>
          <w:tab/>
        </w:r>
        <w:r w:rsidR="00E90738">
          <w:rPr>
            <w:noProof/>
            <w:webHidden/>
          </w:rPr>
          <w:fldChar w:fldCharType="begin"/>
        </w:r>
        <w:r w:rsidR="00E90738">
          <w:rPr>
            <w:noProof/>
            <w:webHidden/>
          </w:rPr>
          <w:instrText xml:space="preserve"> PAGEREF _Toc373415033 \h </w:instrText>
        </w:r>
        <w:r w:rsidR="00E90738">
          <w:rPr>
            <w:noProof/>
            <w:webHidden/>
          </w:rPr>
        </w:r>
        <w:r w:rsidR="00E90738">
          <w:rPr>
            <w:noProof/>
            <w:webHidden/>
          </w:rPr>
          <w:fldChar w:fldCharType="separate"/>
        </w:r>
        <w:r w:rsidR="00E90738">
          <w:rPr>
            <w:noProof/>
            <w:webHidden/>
          </w:rPr>
          <w:t>45</w:t>
        </w:r>
        <w:r w:rsidR="00E90738">
          <w:rPr>
            <w:noProof/>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34" w:history="1">
        <w:r w:rsidR="00E90738" w:rsidRPr="00AD20CC">
          <w:rPr>
            <w:rStyle w:val="Hyperlink"/>
          </w:rPr>
          <w:t>Summary</w:t>
        </w:r>
        <w:r w:rsidR="00E90738">
          <w:rPr>
            <w:webHidden/>
          </w:rPr>
          <w:tab/>
        </w:r>
        <w:r w:rsidR="00E90738">
          <w:rPr>
            <w:webHidden/>
          </w:rPr>
          <w:fldChar w:fldCharType="begin"/>
        </w:r>
        <w:r w:rsidR="00E90738">
          <w:rPr>
            <w:webHidden/>
          </w:rPr>
          <w:instrText xml:space="preserve"> PAGEREF _Toc373415034 \h </w:instrText>
        </w:r>
        <w:r w:rsidR="00E90738">
          <w:rPr>
            <w:webHidden/>
          </w:rPr>
        </w:r>
        <w:r w:rsidR="00E90738">
          <w:rPr>
            <w:webHidden/>
          </w:rPr>
          <w:fldChar w:fldCharType="separate"/>
        </w:r>
        <w:r w:rsidR="00E90738">
          <w:rPr>
            <w:webHidden/>
          </w:rPr>
          <w:t>45</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35" w:history="1">
        <w:r w:rsidR="00E90738" w:rsidRPr="00AD20CC">
          <w:rPr>
            <w:rStyle w:val="Hyperlink"/>
          </w:rPr>
          <w:t>Total revenue, income and expenditure under Vote: Arts, Culture and Heritage</w:t>
        </w:r>
        <w:r w:rsidR="00E90738">
          <w:rPr>
            <w:webHidden/>
          </w:rPr>
          <w:tab/>
        </w:r>
        <w:r w:rsidR="00E90738">
          <w:rPr>
            <w:webHidden/>
          </w:rPr>
          <w:fldChar w:fldCharType="begin"/>
        </w:r>
        <w:r w:rsidR="00E90738">
          <w:rPr>
            <w:webHidden/>
          </w:rPr>
          <w:instrText xml:space="preserve"> PAGEREF _Toc373415035 \h </w:instrText>
        </w:r>
        <w:r w:rsidR="00E90738">
          <w:rPr>
            <w:webHidden/>
          </w:rPr>
        </w:r>
        <w:r w:rsidR="00E90738">
          <w:rPr>
            <w:webHidden/>
          </w:rPr>
          <w:fldChar w:fldCharType="separate"/>
        </w:r>
        <w:r w:rsidR="00E90738">
          <w:rPr>
            <w:webHidden/>
          </w:rPr>
          <w:t>46</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36" w:history="1">
        <w:r w:rsidR="00E90738" w:rsidRPr="00AD20CC">
          <w:rPr>
            <w:rStyle w:val="Hyperlink"/>
          </w:rPr>
          <w:t>Output Area 1: Funding for artists, arts practitioners and arts organisations</w:t>
        </w:r>
        <w:r w:rsidR="00E90738">
          <w:rPr>
            <w:webHidden/>
          </w:rPr>
          <w:tab/>
        </w:r>
        <w:r w:rsidR="00E90738">
          <w:rPr>
            <w:webHidden/>
          </w:rPr>
          <w:fldChar w:fldCharType="begin"/>
        </w:r>
        <w:r w:rsidR="00E90738">
          <w:rPr>
            <w:webHidden/>
          </w:rPr>
          <w:instrText xml:space="preserve"> PAGEREF _Toc373415036 \h </w:instrText>
        </w:r>
        <w:r w:rsidR="00E90738">
          <w:rPr>
            <w:webHidden/>
          </w:rPr>
        </w:r>
        <w:r w:rsidR="00E90738">
          <w:rPr>
            <w:webHidden/>
          </w:rPr>
          <w:fldChar w:fldCharType="separate"/>
        </w:r>
        <w:r w:rsidR="00E90738">
          <w:rPr>
            <w:webHidden/>
          </w:rPr>
          <w:t>47</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7" w:history="1">
        <w:r w:rsidR="00E90738" w:rsidRPr="00AD20CC">
          <w:rPr>
            <w:rStyle w:val="Hyperlink"/>
          </w:rPr>
          <w:t>Investment programmes</w:t>
        </w:r>
        <w:r w:rsidR="00E90738">
          <w:rPr>
            <w:webHidden/>
          </w:rPr>
          <w:tab/>
        </w:r>
        <w:r w:rsidR="00E90738">
          <w:rPr>
            <w:webHidden/>
          </w:rPr>
          <w:fldChar w:fldCharType="begin"/>
        </w:r>
        <w:r w:rsidR="00E90738">
          <w:rPr>
            <w:webHidden/>
          </w:rPr>
          <w:instrText xml:space="preserve"> PAGEREF _Toc373415037 \h </w:instrText>
        </w:r>
        <w:r w:rsidR="00E90738">
          <w:rPr>
            <w:webHidden/>
          </w:rPr>
        </w:r>
        <w:r w:rsidR="00E90738">
          <w:rPr>
            <w:webHidden/>
          </w:rPr>
          <w:fldChar w:fldCharType="separate"/>
        </w:r>
        <w:r w:rsidR="00E90738">
          <w:rPr>
            <w:webHidden/>
          </w:rPr>
          <w:t>47</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8" w:history="1">
        <w:r w:rsidR="00E90738" w:rsidRPr="00AD20CC">
          <w:rPr>
            <w:rStyle w:val="Hyperlink"/>
          </w:rPr>
          <w:t>Grants funding and special opportunities</w:t>
        </w:r>
        <w:r w:rsidR="00E90738">
          <w:rPr>
            <w:webHidden/>
          </w:rPr>
          <w:tab/>
        </w:r>
        <w:r w:rsidR="00E90738">
          <w:rPr>
            <w:webHidden/>
          </w:rPr>
          <w:fldChar w:fldCharType="begin"/>
        </w:r>
        <w:r w:rsidR="00E90738">
          <w:rPr>
            <w:webHidden/>
          </w:rPr>
          <w:instrText xml:space="preserve"> PAGEREF _Toc373415038 \h </w:instrText>
        </w:r>
        <w:r w:rsidR="00E90738">
          <w:rPr>
            <w:webHidden/>
          </w:rPr>
        </w:r>
        <w:r w:rsidR="00E90738">
          <w:rPr>
            <w:webHidden/>
          </w:rPr>
          <w:fldChar w:fldCharType="separate"/>
        </w:r>
        <w:r w:rsidR="00E90738">
          <w:rPr>
            <w:webHidden/>
          </w:rPr>
          <w:t>49</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39" w:history="1">
        <w:r w:rsidR="00E90738" w:rsidRPr="00AD20CC">
          <w:rPr>
            <w:rStyle w:val="Hyperlink"/>
          </w:rPr>
          <w:t>Creative Communities Scheme</w:t>
        </w:r>
        <w:r w:rsidR="00E90738">
          <w:rPr>
            <w:webHidden/>
          </w:rPr>
          <w:tab/>
        </w:r>
        <w:r w:rsidR="00E90738">
          <w:rPr>
            <w:webHidden/>
          </w:rPr>
          <w:fldChar w:fldCharType="begin"/>
        </w:r>
        <w:r w:rsidR="00E90738">
          <w:rPr>
            <w:webHidden/>
          </w:rPr>
          <w:instrText xml:space="preserve"> PAGEREF _Toc373415039 \h </w:instrText>
        </w:r>
        <w:r w:rsidR="00E90738">
          <w:rPr>
            <w:webHidden/>
          </w:rPr>
        </w:r>
        <w:r w:rsidR="00E90738">
          <w:rPr>
            <w:webHidden/>
          </w:rPr>
          <w:fldChar w:fldCharType="separate"/>
        </w:r>
        <w:r w:rsidR="00E90738">
          <w:rPr>
            <w:webHidden/>
          </w:rPr>
          <w:t>51</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40" w:history="1">
        <w:r w:rsidR="00E90738" w:rsidRPr="00AD20CC">
          <w:rPr>
            <w:rStyle w:val="Hyperlink"/>
          </w:rPr>
          <w:t>International presentation and events</w:t>
        </w:r>
        <w:r w:rsidR="00E90738">
          <w:rPr>
            <w:webHidden/>
          </w:rPr>
          <w:tab/>
        </w:r>
        <w:r w:rsidR="00E90738">
          <w:rPr>
            <w:webHidden/>
          </w:rPr>
          <w:fldChar w:fldCharType="begin"/>
        </w:r>
        <w:r w:rsidR="00E90738">
          <w:rPr>
            <w:webHidden/>
          </w:rPr>
          <w:instrText xml:space="preserve"> PAGEREF _Toc373415040 \h </w:instrText>
        </w:r>
        <w:r w:rsidR="00E90738">
          <w:rPr>
            <w:webHidden/>
          </w:rPr>
        </w:r>
        <w:r w:rsidR="00E90738">
          <w:rPr>
            <w:webHidden/>
          </w:rPr>
          <w:fldChar w:fldCharType="separate"/>
        </w:r>
        <w:r w:rsidR="00E90738">
          <w:rPr>
            <w:webHidden/>
          </w:rPr>
          <w:t>53</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41" w:history="1">
        <w:r w:rsidR="00E90738" w:rsidRPr="00AD20CC">
          <w:rPr>
            <w:rStyle w:val="Hyperlink"/>
          </w:rPr>
          <w:t>Output Area 2: Capability building</w:t>
        </w:r>
        <w:r w:rsidR="00E90738">
          <w:rPr>
            <w:webHidden/>
          </w:rPr>
          <w:tab/>
        </w:r>
        <w:r w:rsidR="00E90738">
          <w:rPr>
            <w:webHidden/>
          </w:rPr>
          <w:fldChar w:fldCharType="begin"/>
        </w:r>
        <w:r w:rsidR="00E90738">
          <w:rPr>
            <w:webHidden/>
          </w:rPr>
          <w:instrText xml:space="preserve"> PAGEREF _Toc373415041 \h </w:instrText>
        </w:r>
        <w:r w:rsidR="00E90738">
          <w:rPr>
            <w:webHidden/>
          </w:rPr>
        </w:r>
        <w:r w:rsidR="00E90738">
          <w:rPr>
            <w:webHidden/>
          </w:rPr>
          <w:fldChar w:fldCharType="separate"/>
        </w:r>
        <w:r w:rsidR="00E90738">
          <w:rPr>
            <w:webHidden/>
          </w:rPr>
          <w:t>55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42" w:history="1">
        <w:r w:rsidR="00E90738" w:rsidRPr="00AD20CC">
          <w:rPr>
            <w:rStyle w:val="Hyperlink"/>
          </w:rPr>
          <w:t>Audience and market development</w:t>
        </w:r>
        <w:r w:rsidR="00E90738">
          <w:rPr>
            <w:webHidden/>
          </w:rPr>
          <w:tab/>
        </w:r>
        <w:r w:rsidR="00E90738">
          <w:rPr>
            <w:webHidden/>
          </w:rPr>
          <w:fldChar w:fldCharType="begin"/>
        </w:r>
        <w:r w:rsidR="00E90738">
          <w:rPr>
            <w:webHidden/>
          </w:rPr>
          <w:instrText xml:space="preserve"> PAGEREF _Toc373415042 \h </w:instrText>
        </w:r>
        <w:r w:rsidR="00E90738">
          <w:rPr>
            <w:webHidden/>
          </w:rPr>
        </w:r>
        <w:r w:rsidR="00E90738">
          <w:rPr>
            <w:webHidden/>
          </w:rPr>
          <w:fldChar w:fldCharType="separate"/>
        </w:r>
        <w:r w:rsidR="00E90738">
          <w:rPr>
            <w:webHidden/>
          </w:rPr>
          <w:t>55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43" w:history="1">
        <w:r w:rsidR="00E90738" w:rsidRPr="00AD20CC">
          <w:rPr>
            <w:rStyle w:val="Hyperlink"/>
          </w:rPr>
          <w:t>Strategy and governance</w:t>
        </w:r>
        <w:r w:rsidR="00E90738">
          <w:rPr>
            <w:webHidden/>
          </w:rPr>
          <w:tab/>
        </w:r>
        <w:r w:rsidR="00E90738">
          <w:rPr>
            <w:webHidden/>
          </w:rPr>
          <w:fldChar w:fldCharType="begin"/>
        </w:r>
        <w:r w:rsidR="00E90738">
          <w:rPr>
            <w:webHidden/>
          </w:rPr>
          <w:instrText xml:space="preserve"> PAGEREF _Toc373415043 \h </w:instrText>
        </w:r>
        <w:r w:rsidR="00E90738">
          <w:rPr>
            <w:webHidden/>
          </w:rPr>
        </w:r>
        <w:r w:rsidR="00E90738">
          <w:rPr>
            <w:webHidden/>
          </w:rPr>
          <w:fldChar w:fldCharType="separate"/>
        </w:r>
        <w:r w:rsidR="00E90738">
          <w:rPr>
            <w:webHidden/>
          </w:rPr>
          <w:t>55</w:t>
        </w:r>
        <w:r w:rsidR="00E90738">
          <w:rPr>
            <w:webHidden/>
          </w:rPr>
          <w:fldChar w:fldCharType="end"/>
        </w:r>
      </w:hyperlink>
    </w:p>
    <w:p w:rsidR="00E90738" w:rsidRDefault="005D6E4A">
      <w:pPr>
        <w:pStyle w:val="TOC3"/>
        <w:rPr>
          <w:rFonts w:asciiTheme="minorHAnsi" w:eastAsiaTheme="minorEastAsia" w:hAnsiTheme="minorHAnsi" w:cstheme="minorBidi"/>
          <w:szCs w:val="22"/>
        </w:rPr>
      </w:pPr>
      <w:hyperlink w:anchor="_Toc373415044" w:history="1">
        <w:r w:rsidR="00E90738" w:rsidRPr="00AD20CC">
          <w:rPr>
            <w:rStyle w:val="Hyperlink"/>
          </w:rPr>
          <w:t>Fundraising</w:t>
        </w:r>
        <w:r w:rsidR="00E90738">
          <w:rPr>
            <w:webHidden/>
          </w:rPr>
          <w:tab/>
        </w:r>
        <w:r w:rsidR="00E90738">
          <w:rPr>
            <w:webHidden/>
          </w:rPr>
          <w:fldChar w:fldCharType="begin"/>
        </w:r>
        <w:r w:rsidR="00E90738">
          <w:rPr>
            <w:webHidden/>
          </w:rPr>
          <w:instrText xml:space="preserve"> PAGEREF _Toc373415044 \h </w:instrText>
        </w:r>
        <w:r w:rsidR="00E90738">
          <w:rPr>
            <w:webHidden/>
          </w:rPr>
        </w:r>
        <w:r w:rsidR="00E90738">
          <w:rPr>
            <w:webHidden/>
          </w:rPr>
          <w:fldChar w:fldCharType="separate"/>
        </w:r>
        <w:r w:rsidR="00E90738">
          <w:rPr>
            <w:webHidden/>
          </w:rPr>
          <w:t>55</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45" w:history="1">
        <w:r w:rsidR="00E90738" w:rsidRPr="00AD20CC">
          <w:rPr>
            <w:rStyle w:val="Hyperlink"/>
          </w:rPr>
          <w:t>Output Area 3: Advocacy for the arts</w:t>
        </w:r>
        <w:r w:rsidR="00E90738">
          <w:rPr>
            <w:webHidden/>
          </w:rPr>
          <w:tab/>
        </w:r>
        <w:r w:rsidR="00E90738">
          <w:rPr>
            <w:webHidden/>
          </w:rPr>
          <w:fldChar w:fldCharType="begin"/>
        </w:r>
        <w:r w:rsidR="00E90738">
          <w:rPr>
            <w:webHidden/>
          </w:rPr>
          <w:instrText xml:space="preserve"> PAGEREF _Toc373415045 \h </w:instrText>
        </w:r>
        <w:r w:rsidR="00E90738">
          <w:rPr>
            <w:webHidden/>
          </w:rPr>
        </w:r>
        <w:r w:rsidR="00E90738">
          <w:rPr>
            <w:webHidden/>
          </w:rPr>
          <w:fldChar w:fldCharType="separate"/>
        </w:r>
        <w:r w:rsidR="00E90738">
          <w:rPr>
            <w:webHidden/>
          </w:rPr>
          <w:t>58</w:t>
        </w:r>
        <w:r w:rsidR="00E90738">
          <w:rPr>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46" w:history="1">
        <w:r w:rsidR="00E90738" w:rsidRPr="00AD20CC">
          <w:rPr>
            <w:rStyle w:val="Hyperlink"/>
            <w:noProof/>
          </w:rPr>
          <w:t>PART THREE: FINANCIAL PERFORMANCE | NGĀ WHAKARITENGA PŪTEA</w:t>
        </w:r>
        <w:r w:rsidR="00E90738">
          <w:rPr>
            <w:noProof/>
            <w:webHidden/>
          </w:rPr>
          <w:tab/>
        </w:r>
        <w:r w:rsidR="00E90738">
          <w:rPr>
            <w:noProof/>
            <w:webHidden/>
          </w:rPr>
          <w:fldChar w:fldCharType="begin"/>
        </w:r>
        <w:r w:rsidR="00E90738">
          <w:rPr>
            <w:noProof/>
            <w:webHidden/>
          </w:rPr>
          <w:instrText xml:space="preserve"> PAGEREF _Toc373415046 \h </w:instrText>
        </w:r>
        <w:r w:rsidR="00E90738">
          <w:rPr>
            <w:noProof/>
            <w:webHidden/>
          </w:rPr>
        </w:r>
        <w:r w:rsidR="00E90738">
          <w:rPr>
            <w:noProof/>
            <w:webHidden/>
          </w:rPr>
          <w:fldChar w:fldCharType="separate"/>
        </w:r>
        <w:r w:rsidR="00E90738">
          <w:rPr>
            <w:noProof/>
            <w:webHidden/>
          </w:rPr>
          <w:t>60</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47" w:history="1">
        <w:r w:rsidR="00E90738" w:rsidRPr="00AD20CC">
          <w:rPr>
            <w:rStyle w:val="Hyperlink"/>
            <w:noProof/>
          </w:rPr>
          <w:t>Independent Auditor’s Report | Ripoata nō te kaitātari pūtea umanga ake</w:t>
        </w:r>
        <w:r w:rsidR="00E90738">
          <w:rPr>
            <w:noProof/>
            <w:webHidden/>
          </w:rPr>
          <w:tab/>
        </w:r>
        <w:r w:rsidR="00E90738">
          <w:rPr>
            <w:noProof/>
            <w:webHidden/>
          </w:rPr>
          <w:fldChar w:fldCharType="begin"/>
        </w:r>
        <w:r w:rsidR="00E90738">
          <w:rPr>
            <w:noProof/>
            <w:webHidden/>
          </w:rPr>
          <w:instrText xml:space="preserve"> PAGEREF _Toc373415047 \h </w:instrText>
        </w:r>
        <w:r w:rsidR="00E90738">
          <w:rPr>
            <w:noProof/>
            <w:webHidden/>
          </w:rPr>
        </w:r>
        <w:r w:rsidR="00E90738">
          <w:rPr>
            <w:noProof/>
            <w:webHidden/>
          </w:rPr>
          <w:fldChar w:fldCharType="separate"/>
        </w:r>
        <w:r w:rsidR="00E90738">
          <w:rPr>
            <w:noProof/>
            <w:webHidden/>
          </w:rPr>
          <w:t>61</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48" w:history="1">
        <w:r w:rsidR="00E90738" w:rsidRPr="00AD20CC">
          <w:rPr>
            <w:rStyle w:val="Hyperlink"/>
            <w:noProof/>
          </w:rPr>
          <w:t>Financial statements | Ngā pūrongo pūtea</w:t>
        </w:r>
        <w:r w:rsidR="00E90738">
          <w:rPr>
            <w:noProof/>
            <w:webHidden/>
          </w:rPr>
          <w:tab/>
        </w:r>
        <w:r w:rsidR="00E90738">
          <w:rPr>
            <w:noProof/>
            <w:webHidden/>
          </w:rPr>
          <w:fldChar w:fldCharType="begin"/>
        </w:r>
        <w:r w:rsidR="00E90738">
          <w:rPr>
            <w:noProof/>
            <w:webHidden/>
          </w:rPr>
          <w:instrText xml:space="preserve"> PAGEREF _Toc373415048 \h </w:instrText>
        </w:r>
        <w:r w:rsidR="00E90738">
          <w:rPr>
            <w:noProof/>
            <w:webHidden/>
          </w:rPr>
        </w:r>
        <w:r w:rsidR="00E90738">
          <w:rPr>
            <w:noProof/>
            <w:webHidden/>
          </w:rPr>
          <w:fldChar w:fldCharType="separate"/>
        </w:r>
        <w:r w:rsidR="00E90738">
          <w:rPr>
            <w:noProof/>
            <w:webHidden/>
          </w:rPr>
          <w:t>64</w:t>
        </w:r>
        <w:r w:rsidR="00E90738">
          <w:rPr>
            <w:noProof/>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49" w:history="1">
        <w:r w:rsidR="00E90738" w:rsidRPr="00AD20CC">
          <w:rPr>
            <w:rStyle w:val="Hyperlink"/>
          </w:rPr>
          <w:t>Statement of responsibility</w:t>
        </w:r>
        <w:r w:rsidR="00E90738">
          <w:rPr>
            <w:webHidden/>
          </w:rPr>
          <w:tab/>
        </w:r>
        <w:r w:rsidR="00E90738">
          <w:rPr>
            <w:webHidden/>
          </w:rPr>
          <w:fldChar w:fldCharType="begin"/>
        </w:r>
        <w:r w:rsidR="00E90738">
          <w:rPr>
            <w:webHidden/>
          </w:rPr>
          <w:instrText xml:space="preserve"> PAGEREF _Toc373415049 \h </w:instrText>
        </w:r>
        <w:r w:rsidR="00E90738">
          <w:rPr>
            <w:webHidden/>
          </w:rPr>
        </w:r>
        <w:r w:rsidR="00E90738">
          <w:rPr>
            <w:webHidden/>
          </w:rPr>
          <w:fldChar w:fldCharType="separate"/>
        </w:r>
        <w:r w:rsidR="00E90738">
          <w:rPr>
            <w:webHidden/>
          </w:rPr>
          <w:t>64</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0" w:history="1">
        <w:r w:rsidR="00E90738" w:rsidRPr="00AD20CC">
          <w:rPr>
            <w:rStyle w:val="Hyperlink"/>
          </w:rPr>
          <w:t>Summary of financial performance</w:t>
        </w:r>
        <w:r w:rsidR="00E90738">
          <w:rPr>
            <w:webHidden/>
          </w:rPr>
          <w:tab/>
        </w:r>
        <w:r w:rsidR="00E90738">
          <w:rPr>
            <w:webHidden/>
          </w:rPr>
          <w:fldChar w:fldCharType="begin"/>
        </w:r>
        <w:r w:rsidR="00E90738">
          <w:rPr>
            <w:webHidden/>
          </w:rPr>
          <w:instrText xml:space="preserve"> PAGEREF _Toc373415050 \h </w:instrText>
        </w:r>
        <w:r w:rsidR="00E90738">
          <w:rPr>
            <w:webHidden/>
          </w:rPr>
        </w:r>
        <w:r w:rsidR="00E90738">
          <w:rPr>
            <w:webHidden/>
          </w:rPr>
          <w:fldChar w:fldCharType="separate"/>
        </w:r>
        <w:r w:rsidR="00E90738">
          <w:rPr>
            <w:webHidden/>
          </w:rPr>
          <w:t>65</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1" w:history="1">
        <w:r w:rsidR="00E90738" w:rsidRPr="00AD20CC">
          <w:rPr>
            <w:rStyle w:val="Hyperlink"/>
          </w:rPr>
          <w:t>Statement of financial performance</w:t>
        </w:r>
        <w:r w:rsidR="00E90738">
          <w:rPr>
            <w:webHidden/>
          </w:rPr>
          <w:tab/>
        </w:r>
        <w:r w:rsidR="00E90738">
          <w:rPr>
            <w:webHidden/>
          </w:rPr>
          <w:fldChar w:fldCharType="begin"/>
        </w:r>
        <w:r w:rsidR="00E90738">
          <w:rPr>
            <w:webHidden/>
          </w:rPr>
          <w:instrText xml:space="preserve"> PAGEREF _Toc373415051 \h </w:instrText>
        </w:r>
        <w:r w:rsidR="00E90738">
          <w:rPr>
            <w:webHidden/>
          </w:rPr>
        </w:r>
        <w:r w:rsidR="00E90738">
          <w:rPr>
            <w:webHidden/>
          </w:rPr>
          <w:fldChar w:fldCharType="separate"/>
        </w:r>
        <w:r w:rsidR="00E90738">
          <w:rPr>
            <w:webHidden/>
          </w:rPr>
          <w:t>66</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2" w:history="1">
        <w:r w:rsidR="00E90738" w:rsidRPr="00AD20CC">
          <w:rPr>
            <w:rStyle w:val="Hyperlink"/>
          </w:rPr>
          <w:t>Statement of comprehensive income</w:t>
        </w:r>
        <w:r w:rsidR="00E90738">
          <w:rPr>
            <w:webHidden/>
          </w:rPr>
          <w:tab/>
        </w:r>
        <w:r w:rsidR="00E90738">
          <w:rPr>
            <w:webHidden/>
          </w:rPr>
          <w:fldChar w:fldCharType="begin"/>
        </w:r>
        <w:r w:rsidR="00E90738">
          <w:rPr>
            <w:webHidden/>
          </w:rPr>
          <w:instrText xml:space="preserve"> PAGEREF _Toc373415052 \h </w:instrText>
        </w:r>
        <w:r w:rsidR="00E90738">
          <w:rPr>
            <w:webHidden/>
          </w:rPr>
        </w:r>
        <w:r w:rsidR="00E90738">
          <w:rPr>
            <w:webHidden/>
          </w:rPr>
          <w:fldChar w:fldCharType="separate"/>
        </w:r>
        <w:r w:rsidR="00E90738">
          <w:rPr>
            <w:webHidden/>
          </w:rPr>
          <w:t>67</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3" w:history="1">
        <w:r w:rsidR="00E90738" w:rsidRPr="00AD20CC">
          <w:rPr>
            <w:rStyle w:val="Hyperlink"/>
          </w:rPr>
          <w:t>Statement of changes in equity</w:t>
        </w:r>
        <w:r w:rsidR="00E90738">
          <w:rPr>
            <w:webHidden/>
          </w:rPr>
          <w:tab/>
        </w:r>
        <w:r w:rsidR="00E90738">
          <w:rPr>
            <w:webHidden/>
          </w:rPr>
          <w:fldChar w:fldCharType="begin"/>
        </w:r>
        <w:r w:rsidR="00E90738">
          <w:rPr>
            <w:webHidden/>
          </w:rPr>
          <w:instrText xml:space="preserve"> PAGEREF _Toc373415053 \h </w:instrText>
        </w:r>
        <w:r w:rsidR="00E90738">
          <w:rPr>
            <w:webHidden/>
          </w:rPr>
        </w:r>
        <w:r w:rsidR="00E90738">
          <w:rPr>
            <w:webHidden/>
          </w:rPr>
          <w:fldChar w:fldCharType="separate"/>
        </w:r>
        <w:r w:rsidR="00E90738">
          <w:rPr>
            <w:webHidden/>
          </w:rPr>
          <w:t>67</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4" w:history="1">
        <w:r w:rsidR="00E90738" w:rsidRPr="00AD20CC">
          <w:rPr>
            <w:rStyle w:val="Hyperlink"/>
          </w:rPr>
          <w:t>Statement of financial position</w:t>
        </w:r>
        <w:r w:rsidR="00E90738">
          <w:rPr>
            <w:webHidden/>
          </w:rPr>
          <w:tab/>
        </w:r>
        <w:r w:rsidR="00E90738">
          <w:rPr>
            <w:webHidden/>
          </w:rPr>
          <w:fldChar w:fldCharType="begin"/>
        </w:r>
        <w:r w:rsidR="00E90738">
          <w:rPr>
            <w:webHidden/>
          </w:rPr>
          <w:instrText xml:space="preserve"> PAGEREF _Toc373415054 \h </w:instrText>
        </w:r>
        <w:r w:rsidR="00E90738">
          <w:rPr>
            <w:webHidden/>
          </w:rPr>
        </w:r>
        <w:r w:rsidR="00E90738">
          <w:rPr>
            <w:webHidden/>
          </w:rPr>
          <w:fldChar w:fldCharType="separate"/>
        </w:r>
        <w:r w:rsidR="00E90738">
          <w:rPr>
            <w:webHidden/>
          </w:rPr>
          <w:t>68</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5" w:history="1">
        <w:r w:rsidR="00E90738" w:rsidRPr="00AD20CC">
          <w:rPr>
            <w:rStyle w:val="Hyperlink"/>
          </w:rPr>
          <w:t>Statement of cash flows</w:t>
        </w:r>
        <w:r w:rsidR="00E90738">
          <w:rPr>
            <w:webHidden/>
          </w:rPr>
          <w:tab/>
        </w:r>
        <w:r w:rsidR="00E90738">
          <w:rPr>
            <w:webHidden/>
          </w:rPr>
          <w:fldChar w:fldCharType="begin"/>
        </w:r>
        <w:r w:rsidR="00E90738">
          <w:rPr>
            <w:webHidden/>
          </w:rPr>
          <w:instrText xml:space="preserve"> PAGEREF _Toc373415055 \h </w:instrText>
        </w:r>
        <w:r w:rsidR="00E90738">
          <w:rPr>
            <w:webHidden/>
          </w:rPr>
        </w:r>
        <w:r w:rsidR="00E90738">
          <w:rPr>
            <w:webHidden/>
          </w:rPr>
          <w:fldChar w:fldCharType="separate"/>
        </w:r>
        <w:r w:rsidR="00E90738">
          <w:rPr>
            <w:webHidden/>
          </w:rPr>
          <w:t>69</w:t>
        </w:r>
        <w:r w:rsidR="00E90738">
          <w:rPr>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6" w:history="1">
        <w:r w:rsidR="00E90738" w:rsidRPr="00AD20CC">
          <w:rPr>
            <w:rStyle w:val="Hyperlink"/>
          </w:rPr>
          <w:t>Notes to the financial statements</w:t>
        </w:r>
        <w:r w:rsidR="00E90738">
          <w:rPr>
            <w:webHidden/>
          </w:rPr>
          <w:tab/>
        </w:r>
        <w:r w:rsidR="00E90738">
          <w:rPr>
            <w:webHidden/>
          </w:rPr>
          <w:fldChar w:fldCharType="begin"/>
        </w:r>
        <w:r w:rsidR="00E90738">
          <w:rPr>
            <w:webHidden/>
          </w:rPr>
          <w:instrText xml:space="preserve"> PAGEREF _Toc373415056 \h </w:instrText>
        </w:r>
        <w:r w:rsidR="00E90738">
          <w:rPr>
            <w:webHidden/>
          </w:rPr>
        </w:r>
        <w:r w:rsidR="00E90738">
          <w:rPr>
            <w:webHidden/>
          </w:rPr>
          <w:fldChar w:fldCharType="separate"/>
        </w:r>
        <w:r w:rsidR="00E90738">
          <w:rPr>
            <w:webHidden/>
          </w:rPr>
          <w:t>70</w:t>
        </w:r>
        <w:r w:rsidR="00E90738">
          <w:rPr>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57" w:history="1">
        <w:r w:rsidR="00E90738" w:rsidRPr="00AD20CC">
          <w:rPr>
            <w:rStyle w:val="Hyperlink"/>
            <w:noProof/>
          </w:rPr>
          <w:t>PART FOUR: APPENDICES |  PEPA TĀPIRI</w:t>
        </w:r>
        <w:r w:rsidR="00E90738">
          <w:rPr>
            <w:noProof/>
            <w:webHidden/>
          </w:rPr>
          <w:tab/>
        </w:r>
        <w:r w:rsidR="00E90738">
          <w:rPr>
            <w:noProof/>
            <w:webHidden/>
          </w:rPr>
          <w:fldChar w:fldCharType="begin"/>
        </w:r>
        <w:r w:rsidR="00E90738">
          <w:rPr>
            <w:noProof/>
            <w:webHidden/>
          </w:rPr>
          <w:instrText xml:space="preserve"> PAGEREF _Toc373415057 \h </w:instrText>
        </w:r>
        <w:r w:rsidR="00E90738">
          <w:rPr>
            <w:noProof/>
            <w:webHidden/>
          </w:rPr>
        </w:r>
        <w:r w:rsidR="00E90738">
          <w:rPr>
            <w:noProof/>
            <w:webHidden/>
          </w:rPr>
          <w:fldChar w:fldCharType="separate"/>
        </w:r>
        <w:r w:rsidR="00E90738">
          <w:rPr>
            <w:noProof/>
            <w:webHidden/>
          </w:rPr>
          <w:t>101</w:t>
        </w:r>
        <w:r w:rsidR="00E90738">
          <w:rPr>
            <w:noProof/>
            <w:webHidden/>
          </w:rPr>
          <w:fldChar w:fldCharType="end"/>
        </w:r>
      </w:hyperlink>
    </w:p>
    <w:p w:rsidR="00E90738" w:rsidRDefault="005D6E4A">
      <w:pPr>
        <w:pStyle w:val="TOC1"/>
        <w:rPr>
          <w:rFonts w:asciiTheme="minorHAnsi" w:eastAsiaTheme="minorEastAsia" w:hAnsiTheme="minorHAnsi" w:cstheme="minorBidi"/>
          <w:b w:val="0"/>
          <w:noProof/>
          <w:szCs w:val="22"/>
        </w:rPr>
      </w:pPr>
      <w:hyperlink w:anchor="_Toc373415058" w:history="1">
        <w:r w:rsidR="00E90738" w:rsidRPr="00AD20CC">
          <w:rPr>
            <w:rStyle w:val="Hyperlink"/>
            <w:noProof/>
          </w:rPr>
          <w:t>Appendix 1:  Creative New Zealand – Who We Are |  Toi Aotearoa – Ko wai mātou</w:t>
        </w:r>
        <w:r w:rsidR="00E90738">
          <w:rPr>
            <w:noProof/>
            <w:webHidden/>
          </w:rPr>
          <w:tab/>
        </w:r>
        <w:r w:rsidR="00E90738">
          <w:rPr>
            <w:noProof/>
            <w:webHidden/>
          </w:rPr>
          <w:fldChar w:fldCharType="begin"/>
        </w:r>
        <w:r w:rsidR="00E90738">
          <w:rPr>
            <w:noProof/>
            <w:webHidden/>
          </w:rPr>
          <w:instrText xml:space="preserve"> PAGEREF _Toc373415058 \h </w:instrText>
        </w:r>
        <w:r w:rsidR="00E90738">
          <w:rPr>
            <w:noProof/>
            <w:webHidden/>
          </w:rPr>
        </w:r>
        <w:r w:rsidR="00E90738">
          <w:rPr>
            <w:noProof/>
            <w:webHidden/>
          </w:rPr>
          <w:fldChar w:fldCharType="separate"/>
        </w:r>
        <w:r w:rsidR="00E90738">
          <w:rPr>
            <w:noProof/>
            <w:webHidden/>
          </w:rPr>
          <w:t>102</w:t>
        </w:r>
        <w:r w:rsidR="00E90738">
          <w:rPr>
            <w:noProof/>
            <w:webHidden/>
          </w:rPr>
          <w:fldChar w:fldCharType="end"/>
        </w:r>
      </w:hyperlink>
    </w:p>
    <w:p w:rsidR="00E90738" w:rsidRDefault="005D6E4A">
      <w:pPr>
        <w:pStyle w:val="TOC2"/>
        <w:rPr>
          <w:rFonts w:asciiTheme="minorHAnsi" w:eastAsiaTheme="minorEastAsia" w:hAnsiTheme="minorHAnsi" w:cstheme="minorBidi"/>
          <w:b w:val="0"/>
          <w:i w:val="0"/>
        </w:rPr>
      </w:pPr>
      <w:hyperlink w:anchor="_Toc373415059" w:history="1">
        <w:r w:rsidR="00E90738" w:rsidRPr="00AD20CC">
          <w:rPr>
            <w:rStyle w:val="Hyperlink"/>
          </w:rPr>
          <w:t>Governance structure</w:t>
        </w:r>
        <w:r w:rsidR="00E90738">
          <w:rPr>
            <w:webHidden/>
          </w:rPr>
          <w:tab/>
        </w:r>
        <w:r w:rsidR="00E90738">
          <w:rPr>
            <w:webHidden/>
          </w:rPr>
          <w:fldChar w:fldCharType="begin"/>
        </w:r>
        <w:r w:rsidR="00E90738">
          <w:rPr>
            <w:webHidden/>
          </w:rPr>
          <w:instrText xml:space="preserve"> PAGEREF _Toc373415059 \h </w:instrText>
        </w:r>
        <w:r w:rsidR="00E90738">
          <w:rPr>
            <w:webHidden/>
          </w:rPr>
        </w:r>
        <w:r w:rsidR="00E90738">
          <w:rPr>
            <w:webHidden/>
          </w:rPr>
          <w:fldChar w:fldCharType="separate"/>
        </w:r>
        <w:r w:rsidR="00E90738">
          <w:rPr>
            <w:webHidden/>
          </w:rPr>
          <w:t>104</w:t>
        </w:r>
        <w:r w:rsidR="00E90738">
          <w:rPr>
            <w:webHidden/>
          </w:rPr>
          <w:fldChar w:fldCharType="end"/>
        </w:r>
      </w:hyperlink>
    </w:p>
    <w:p w:rsidR="00720D15" w:rsidRPr="006552E9" w:rsidRDefault="00E22C83" w:rsidP="00046460">
      <w:pPr>
        <w:tabs>
          <w:tab w:val="right" w:leader="dot" w:pos="8931"/>
        </w:tabs>
      </w:pPr>
      <w:r>
        <w:fldChar w:fldCharType="end"/>
      </w:r>
    </w:p>
    <w:p w:rsidR="00910F52" w:rsidRPr="006552E9" w:rsidRDefault="00910F52" w:rsidP="004E77B9">
      <w:pPr>
        <w:sectPr w:rsidR="00910F52" w:rsidRPr="006552E9" w:rsidSect="00AC4801">
          <w:headerReference w:type="default" r:id="rId15"/>
          <w:pgSz w:w="11907" w:h="16840" w:code="9"/>
          <w:pgMar w:top="1440" w:right="1440" w:bottom="1440" w:left="1440" w:header="720" w:footer="720" w:gutter="0"/>
          <w:cols w:space="708"/>
          <w:docGrid w:linePitch="360"/>
        </w:sectPr>
      </w:pPr>
    </w:p>
    <w:p w:rsidR="001C4B75" w:rsidRPr="006552E9" w:rsidRDefault="00A56C54" w:rsidP="00FF7DBB">
      <w:pPr>
        <w:pStyle w:val="Heading1"/>
        <w:jc w:val="left"/>
      </w:pPr>
      <w:bookmarkStart w:id="0" w:name="_Toc276561836"/>
      <w:bookmarkStart w:id="1" w:name="_Toc303265762"/>
      <w:bookmarkStart w:id="2" w:name="_Toc373414989"/>
      <w:bookmarkStart w:id="3" w:name="_Toc210707340"/>
      <w:r w:rsidRPr="006552E9">
        <w:t xml:space="preserve">Our </w:t>
      </w:r>
      <w:r w:rsidR="00114300" w:rsidRPr="006552E9">
        <w:t>Chair</w:t>
      </w:r>
      <w:r w:rsidRPr="006552E9">
        <w:t xml:space="preserve"> and Chief Executive </w:t>
      </w:r>
      <w:r w:rsidR="0098014C" w:rsidRPr="006552E9">
        <w:t>review the year</w:t>
      </w:r>
      <w:r w:rsidRPr="006552E9">
        <w:t xml:space="preserve"> | </w:t>
      </w:r>
      <w:r w:rsidR="00FF7DBB" w:rsidRPr="006552E9">
        <w:br/>
      </w:r>
      <w:r w:rsidR="0009520D" w:rsidRPr="006552E9">
        <w:t>Ng</w:t>
      </w:r>
      <w:r w:rsidR="00FA380F" w:rsidRPr="006552E9">
        <w:t>ā</w:t>
      </w:r>
      <w:r w:rsidR="0009520D" w:rsidRPr="006552E9">
        <w:t xml:space="preserve"> tirohanga mai t</w:t>
      </w:r>
      <w:r w:rsidR="00FA380F" w:rsidRPr="006552E9">
        <w:t>ō</w:t>
      </w:r>
      <w:r w:rsidR="0009520D" w:rsidRPr="006552E9">
        <w:t xml:space="preserve"> m</w:t>
      </w:r>
      <w:r w:rsidR="00FA380F" w:rsidRPr="006552E9">
        <w:t>ā</w:t>
      </w:r>
      <w:r w:rsidR="0009520D" w:rsidRPr="006552E9">
        <w:t>tou tiamana, me te tumuaki n</w:t>
      </w:r>
      <w:r w:rsidR="00FA380F" w:rsidRPr="006552E9">
        <w:t>ō</w:t>
      </w:r>
      <w:r w:rsidR="0009520D" w:rsidRPr="006552E9">
        <w:t xml:space="preserve"> tenei t</w:t>
      </w:r>
      <w:bookmarkEnd w:id="0"/>
      <w:bookmarkEnd w:id="1"/>
      <w:r w:rsidR="00563366" w:rsidRPr="006552E9">
        <w:t>au</w:t>
      </w:r>
      <w:bookmarkEnd w:id="2"/>
    </w:p>
    <w:p w:rsidR="0011544A" w:rsidRPr="006552E9" w:rsidRDefault="008C220E" w:rsidP="00BF145C">
      <w:r w:rsidRPr="006552E9">
        <w:t xml:space="preserve">Over 2012/13, we </w:t>
      </w:r>
      <w:r w:rsidR="003F66E5" w:rsidRPr="006552E9">
        <w:t xml:space="preserve">consulted with the arts sector on the development of our new </w:t>
      </w:r>
      <w:r w:rsidR="009A4197" w:rsidRPr="006552E9">
        <w:t>strategic plan</w:t>
      </w:r>
      <w:r w:rsidR="003F66E5" w:rsidRPr="006552E9">
        <w:t>.</w:t>
      </w:r>
      <w:r w:rsidR="00175E6D" w:rsidRPr="006552E9">
        <w:t xml:space="preserve"> </w:t>
      </w:r>
      <w:r w:rsidR="003F66E5" w:rsidRPr="006552E9">
        <w:t xml:space="preserve">Through this </w:t>
      </w:r>
      <w:r w:rsidR="00DF4954" w:rsidRPr="006552E9">
        <w:t xml:space="preserve">we </w:t>
      </w:r>
      <w:r w:rsidR="003F66E5" w:rsidRPr="006552E9">
        <w:t xml:space="preserve">heard </w:t>
      </w:r>
      <w:r w:rsidRPr="006552E9">
        <w:t xml:space="preserve">that the arts sector believes the services we provide </w:t>
      </w:r>
      <w:r w:rsidR="003F66E5" w:rsidRPr="006552E9">
        <w:t xml:space="preserve">remain </w:t>
      </w:r>
      <w:r w:rsidRPr="006552E9">
        <w:t>valid and appropriate</w:t>
      </w:r>
      <w:r w:rsidR="0096710D" w:rsidRPr="006552E9">
        <w:t xml:space="preserve"> and th</w:t>
      </w:r>
      <w:r w:rsidR="003F66E5" w:rsidRPr="006552E9">
        <w:t xml:space="preserve">at there is broad support for us to </w:t>
      </w:r>
      <w:r w:rsidR="000E2F59" w:rsidRPr="006552E9">
        <w:t>continue</w:t>
      </w:r>
      <w:r w:rsidR="003F66E5" w:rsidRPr="006552E9">
        <w:t xml:space="preserve"> with ou</w:t>
      </w:r>
      <w:r w:rsidR="00C56FD0" w:rsidRPr="006552E9">
        <w:t>r current range of programmes</w:t>
      </w:r>
      <w:r w:rsidRPr="006552E9">
        <w:t>.</w:t>
      </w:r>
      <w:r w:rsidRPr="006552E9">
        <w:rPr>
          <w:rStyle w:val="FootnoteReference"/>
        </w:rPr>
        <w:footnoteReference w:id="1"/>
      </w:r>
    </w:p>
    <w:p w:rsidR="00310703" w:rsidRPr="006552E9" w:rsidRDefault="00F81E01" w:rsidP="00F81E01">
      <w:r w:rsidRPr="006552E9">
        <w:t>During th</w:t>
      </w:r>
      <w:r w:rsidR="00CB612E" w:rsidRPr="006552E9">
        <w:t>e</w:t>
      </w:r>
      <w:r w:rsidRPr="006552E9">
        <w:t xml:space="preserve"> year, we have continued to support the arts sector as it faced a range of challenges, maintaining our funding at the record level achieved in 2011/12.</w:t>
      </w:r>
      <w:r w:rsidR="00175E6D" w:rsidRPr="006552E9">
        <w:t xml:space="preserve"> </w:t>
      </w:r>
      <w:r w:rsidR="00310703" w:rsidRPr="006552E9">
        <w:t xml:space="preserve">In the second year of our Tōtara and Kahikatea investment programmes we have directed a greater proportion of our total funding into these key organisations, reflecting our intention to </w:t>
      </w:r>
      <w:r w:rsidR="00CB612E" w:rsidRPr="006552E9">
        <w:t>build a stable infrastructure for New Zealand arts</w:t>
      </w:r>
      <w:r w:rsidR="00310703" w:rsidRPr="006552E9">
        <w:t>.</w:t>
      </w:r>
    </w:p>
    <w:p w:rsidR="0011544A" w:rsidRPr="006552E9" w:rsidRDefault="00310703" w:rsidP="00F81E01">
      <w:r w:rsidRPr="006552E9">
        <w:t xml:space="preserve">In 2012/13, we </w:t>
      </w:r>
      <w:r w:rsidR="00F81E01" w:rsidRPr="006552E9">
        <w:t xml:space="preserve">have seen the impact of the Canterbury </w:t>
      </w:r>
      <w:r w:rsidR="009A4197" w:rsidRPr="006552E9">
        <w:t xml:space="preserve">earthquakes </w:t>
      </w:r>
      <w:r w:rsidR="00F81E01" w:rsidRPr="006552E9">
        <w:t xml:space="preserve">and fiscal constraint begin to ease, with audience numbers </w:t>
      </w:r>
      <w:r w:rsidR="00CB612E" w:rsidRPr="006552E9">
        <w:t xml:space="preserve">starting to </w:t>
      </w:r>
      <w:r w:rsidR="00F81E01" w:rsidRPr="006552E9">
        <w:t xml:space="preserve">recover to </w:t>
      </w:r>
      <w:r w:rsidR="005D6E4A">
        <w:t>pre-</w:t>
      </w:r>
      <w:r w:rsidR="00F81E01" w:rsidRPr="006552E9">
        <w:t>quake levels</w:t>
      </w:r>
      <w:r w:rsidR="00CB612E" w:rsidRPr="006552E9">
        <w:t>, both</w:t>
      </w:r>
      <w:r w:rsidR="00F81E01" w:rsidRPr="006552E9">
        <w:t xml:space="preserve"> in Christchurch and across the country.</w:t>
      </w:r>
      <w:r w:rsidR="00F81E01" w:rsidRPr="006552E9">
        <w:rPr>
          <w:rStyle w:val="FootnoteReference"/>
        </w:rPr>
        <w:footnoteReference w:id="2"/>
      </w:r>
      <w:r w:rsidR="00175E6D" w:rsidRPr="006552E9">
        <w:t xml:space="preserve"> </w:t>
      </w:r>
    </w:p>
    <w:p w:rsidR="00C5174B" w:rsidRPr="006552E9" w:rsidRDefault="00C5174B" w:rsidP="00C5174B">
      <w:pPr>
        <w:pStyle w:val="Heading4"/>
      </w:pPr>
      <w:r w:rsidRPr="006552E9">
        <w:t>Meeting expectations</w:t>
      </w:r>
    </w:p>
    <w:p w:rsidR="00BF5FF3" w:rsidRPr="006552E9" w:rsidRDefault="00BF5FF3" w:rsidP="00C5174B">
      <w:r w:rsidRPr="006552E9">
        <w:t xml:space="preserve">Our </w:t>
      </w:r>
      <w:r w:rsidR="00C5174B" w:rsidRPr="006552E9">
        <w:t>primary stakeholder and funder, the government</w:t>
      </w:r>
      <w:r w:rsidRPr="006552E9">
        <w:t>,</w:t>
      </w:r>
      <w:r w:rsidR="00C5174B" w:rsidRPr="006552E9">
        <w:t xml:space="preserve"> </w:t>
      </w:r>
      <w:r w:rsidR="0011286A" w:rsidRPr="006552E9">
        <w:t>expect</w:t>
      </w:r>
      <w:r w:rsidR="00F16F36" w:rsidRPr="006552E9">
        <w:t>s</w:t>
      </w:r>
      <w:r w:rsidR="0011286A" w:rsidRPr="006552E9">
        <w:t xml:space="preserve"> </w:t>
      </w:r>
      <w:r w:rsidRPr="006552E9">
        <w:t xml:space="preserve">all agencies </w:t>
      </w:r>
      <w:r w:rsidR="0011286A" w:rsidRPr="006552E9">
        <w:t xml:space="preserve">to </w:t>
      </w:r>
      <w:r w:rsidR="00F16F36" w:rsidRPr="006552E9">
        <w:t>respond to its</w:t>
      </w:r>
      <w:r w:rsidR="0011286A" w:rsidRPr="006552E9">
        <w:t xml:space="preserve"> priorities.</w:t>
      </w:r>
      <w:r w:rsidR="00175E6D" w:rsidRPr="006552E9">
        <w:t xml:space="preserve"> </w:t>
      </w:r>
      <w:r w:rsidRPr="006552E9">
        <w:t xml:space="preserve">The arts sector expects us to provide appropriate support tailored to sector needs and we </w:t>
      </w:r>
      <w:r w:rsidR="003F66E5" w:rsidRPr="006552E9">
        <w:t xml:space="preserve">are </w:t>
      </w:r>
      <w:r w:rsidR="000E2F59" w:rsidRPr="006552E9">
        <w:t>committed</w:t>
      </w:r>
      <w:r w:rsidR="003F66E5" w:rsidRPr="006552E9">
        <w:t xml:space="preserve"> </w:t>
      </w:r>
      <w:r w:rsidRPr="006552E9">
        <w:t xml:space="preserve">to </w:t>
      </w:r>
      <w:r w:rsidR="003F66E5" w:rsidRPr="006552E9">
        <w:t xml:space="preserve">delivering the </w:t>
      </w:r>
      <w:r w:rsidRPr="006552E9">
        <w:t xml:space="preserve">service and performance forecasts in our Statement of Intent </w:t>
      </w:r>
      <w:r w:rsidR="009A4197">
        <w:t>2012–15</w:t>
      </w:r>
      <w:r w:rsidR="00AD2240">
        <w:t xml:space="preserve"> </w:t>
      </w:r>
      <w:r w:rsidRPr="006552E9">
        <w:t>(SOI).</w:t>
      </w:r>
    </w:p>
    <w:p w:rsidR="00C5174B" w:rsidRPr="006552E9" w:rsidRDefault="00BF5FF3" w:rsidP="00C5174B">
      <w:r w:rsidRPr="006552E9">
        <w:t xml:space="preserve">During 2012/13, we have delivered initiatives and services to meet the expectations of </w:t>
      </w:r>
      <w:r w:rsidR="003F66E5" w:rsidRPr="006552E9">
        <w:t xml:space="preserve">our different </w:t>
      </w:r>
      <w:r w:rsidRPr="006552E9">
        <w:t>stakeholders and met or exceeded the great majority of our SOI forecasts.</w:t>
      </w:r>
      <w:r w:rsidR="00175E6D" w:rsidRPr="006552E9">
        <w:t xml:space="preserve"> </w:t>
      </w:r>
    </w:p>
    <w:p w:rsidR="00EB6074" w:rsidRPr="006552E9" w:rsidRDefault="00EB6074" w:rsidP="00C5174B">
      <w:pPr>
        <w:pStyle w:val="Heading4"/>
      </w:pPr>
      <w:r w:rsidRPr="006552E9">
        <w:t>Collaborating with others</w:t>
      </w:r>
    </w:p>
    <w:p w:rsidR="00852FFF" w:rsidRPr="006552E9" w:rsidRDefault="00EB6074" w:rsidP="00852FFF">
      <w:r w:rsidRPr="006552E9">
        <w:t xml:space="preserve">Creative New Zealand is one of many </w:t>
      </w:r>
      <w:r w:rsidR="00DF4954" w:rsidRPr="006552E9">
        <w:t xml:space="preserve">organisations </w:t>
      </w:r>
      <w:r w:rsidRPr="006552E9">
        <w:t>working to develop the arts in New Zealand</w:t>
      </w:r>
      <w:r w:rsidR="00852FFF" w:rsidRPr="006552E9">
        <w:t>.</w:t>
      </w:r>
      <w:r w:rsidR="00175E6D" w:rsidRPr="006552E9">
        <w:t xml:space="preserve"> </w:t>
      </w:r>
      <w:r w:rsidR="00852FFF" w:rsidRPr="006552E9">
        <w:t>Our investment in the arts attracts resources from local authorities, trusts, sponsors and the community itself.</w:t>
      </w:r>
      <w:r w:rsidR="00175E6D" w:rsidRPr="006552E9">
        <w:t xml:space="preserve"> </w:t>
      </w:r>
      <w:r w:rsidR="003F66E5" w:rsidRPr="006552E9">
        <w:t>Fo</w:t>
      </w:r>
      <w:r w:rsidR="00852FFF" w:rsidRPr="006552E9">
        <w:t>r every Creative New Zealand dollar, many more are attracted</w:t>
      </w:r>
      <w:r w:rsidR="003F66E5" w:rsidRPr="006552E9">
        <w:t xml:space="preserve"> to support the arts</w:t>
      </w:r>
      <w:r w:rsidR="00852FFF" w:rsidRPr="006552E9">
        <w:t xml:space="preserve">, </w:t>
      </w:r>
      <w:r w:rsidR="003F66E5" w:rsidRPr="006552E9">
        <w:t xml:space="preserve">along with </w:t>
      </w:r>
      <w:r w:rsidR="00852FFF" w:rsidRPr="006552E9">
        <w:t>significant voluntary input.</w:t>
      </w:r>
    </w:p>
    <w:p w:rsidR="00EB6074" w:rsidRPr="006552E9" w:rsidRDefault="009A4197" w:rsidP="00EB6074">
      <w:r>
        <w:t>Important</w:t>
      </w:r>
      <w:r w:rsidR="00852FFF" w:rsidRPr="006552E9">
        <w:t xml:space="preserve"> collaborations in this year have included:</w:t>
      </w:r>
    </w:p>
    <w:p w:rsidR="00852FFF" w:rsidRPr="006552E9" w:rsidRDefault="00852FFF" w:rsidP="00852FFF">
      <w:pPr>
        <w:pStyle w:val="Bullet"/>
      </w:pPr>
      <w:r w:rsidRPr="006552E9">
        <w:t xml:space="preserve">working with other </w:t>
      </w:r>
      <w:r w:rsidR="003F66E5" w:rsidRPr="006552E9">
        <w:t xml:space="preserve">government </w:t>
      </w:r>
      <w:r w:rsidRPr="006552E9">
        <w:t xml:space="preserve">agencies </w:t>
      </w:r>
      <w:r w:rsidR="003F66E5" w:rsidRPr="006552E9">
        <w:t xml:space="preserve">and arts organisations </w:t>
      </w:r>
      <w:r w:rsidRPr="006552E9">
        <w:t>to keep the arts at the heart of the Canterbury rebuild</w:t>
      </w:r>
    </w:p>
    <w:p w:rsidR="00852FFF" w:rsidRPr="006552E9" w:rsidRDefault="00852FFF" w:rsidP="00852FFF">
      <w:pPr>
        <w:pStyle w:val="Bullet"/>
      </w:pPr>
      <w:r w:rsidRPr="006552E9">
        <w:t>supporting the arts, culture and heritage sectors to build their fundraising skills through our Creative Giving programme</w:t>
      </w:r>
    </w:p>
    <w:p w:rsidR="00852FFF" w:rsidRPr="006552E9" w:rsidRDefault="00852FFF" w:rsidP="00852FFF">
      <w:pPr>
        <w:pStyle w:val="Bullet"/>
      </w:pPr>
      <w:r w:rsidRPr="006552E9">
        <w:t>contributing to the Ministry for Culture and Heritage’s review of the professional orchestra sector and implementing the outcomes of the review.</w:t>
      </w:r>
    </w:p>
    <w:p w:rsidR="00C5174B" w:rsidRPr="006552E9" w:rsidRDefault="00C5174B" w:rsidP="00C5174B">
      <w:pPr>
        <w:pStyle w:val="Heading4"/>
      </w:pPr>
      <w:r w:rsidRPr="006552E9">
        <w:t>Major development focuses</w:t>
      </w:r>
    </w:p>
    <w:p w:rsidR="00F81E01" w:rsidRPr="006552E9" w:rsidRDefault="003F66E5" w:rsidP="00F81E01">
      <w:r w:rsidRPr="006552E9">
        <w:t xml:space="preserve">A </w:t>
      </w:r>
      <w:r w:rsidR="00CB612E" w:rsidRPr="006552E9">
        <w:t>major focus for development during the year w</w:t>
      </w:r>
      <w:r w:rsidRPr="006552E9">
        <w:t xml:space="preserve">as </w:t>
      </w:r>
      <w:r w:rsidR="00CB612E" w:rsidRPr="006552E9">
        <w:t xml:space="preserve">on reviewing </w:t>
      </w:r>
      <w:r w:rsidR="000D5DD7" w:rsidRPr="006552E9">
        <w:t>policies to</w:t>
      </w:r>
      <w:r w:rsidRPr="006552E9">
        <w:t xml:space="preserve"> better respond to the future needs of the arts sector</w:t>
      </w:r>
      <w:r w:rsidR="000D5DD7" w:rsidRPr="006552E9">
        <w:t>.</w:t>
      </w:r>
    </w:p>
    <w:p w:rsidR="00CB612E" w:rsidRPr="006552E9" w:rsidRDefault="00CB612E" w:rsidP="00F81E01">
      <w:r w:rsidRPr="006552E9">
        <w:t>In particular, the policy work we have done on Māori and Pa</w:t>
      </w:r>
      <w:r w:rsidR="00F81CFA">
        <w:t>c</w:t>
      </w:r>
      <w:r w:rsidRPr="006552E9">
        <w:t>i</w:t>
      </w:r>
      <w:r w:rsidR="00B1339A" w:rsidRPr="006552E9">
        <w:t>fic</w:t>
      </w:r>
      <w:r w:rsidRPr="006552E9">
        <w:t xml:space="preserve"> arts sets a direction for the support of both heritage and contemporary arts for the next </w:t>
      </w:r>
      <w:r w:rsidR="00C56FD0" w:rsidRPr="006552E9">
        <w:t>five years</w:t>
      </w:r>
      <w:r w:rsidRPr="006552E9">
        <w:t xml:space="preserve"> and beyond</w:t>
      </w:r>
      <w:r w:rsidR="00B520EF" w:rsidRPr="006552E9">
        <w:t>.</w:t>
      </w:r>
      <w:r w:rsidR="00175E6D" w:rsidRPr="006552E9">
        <w:t xml:space="preserve"> </w:t>
      </w:r>
      <w:r w:rsidR="00B520EF" w:rsidRPr="006552E9">
        <w:t>The plans we are implementing will help</w:t>
      </w:r>
      <w:r w:rsidRPr="006552E9">
        <w:t xml:space="preserve"> Māori and Pa</w:t>
      </w:r>
      <w:r w:rsidR="009A4197">
        <w:t>cific</w:t>
      </w:r>
      <w:r w:rsidRPr="006552E9">
        <w:t xml:space="preserve"> arts to develop and thrive in New Zealand.</w:t>
      </w:r>
    </w:p>
    <w:p w:rsidR="00C5174B" w:rsidRPr="006552E9" w:rsidRDefault="00C5174B" w:rsidP="00C5174B">
      <w:pPr>
        <w:pStyle w:val="Heading4"/>
      </w:pPr>
      <w:r w:rsidRPr="006552E9">
        <w:t>Looking forward</w:t>
      </w:r>
    </w:p>
    <w:p w:rsidR="00CB612E" w:rsidRPr="006552E9" w:rsidRDefault="00805CAF" w:rsidP="00F81E01">
      <w:r w:rsidRPr="006552E9">
        <w:t>W</w:t>
      </w:r>
      <w:r w:rsidR="00CB612E" w:rsidRPr="006552E9">
        <w:t xml:space="preserve">e </w:t>
      </w:r>
      <w:r w:rsidRPr="006552E9">
        <w:t xml:space="preserve">have </w:t>
      </w:r>
      <w:r w:rsidR="00CB612E" w:rsidRPr="006552E9">
        <w:t>developed a new strategic plan outlining our intentions for the 2013–16 period</w:t>
      </w:r>
      <w:r w:rsidR="00C5174B" w:rsidRPr="006552E9">
        <w:t>.</w:t>
      </w:r>
      <w:r w:rsidR="00175E6D" w:rsidRPr="006552E9">
        <w:t xml:space="preserve"> </w:t>
      </w:r>
      <w:r w:rsidR="00C5174B" w:rsidRPr="006552E9">
        <w:t>The plan is a mixture of continuing existing services and new areas of focus</w:t>
      </w:r>
      <w:r w:rsidR="00B520EF" w:rsidRPr="006552E9">
        <w:t>:</w:t>
      </w:r>
      <w:r w:rsidRPr="006552E9">
        <w:t xml:space="preserve"> for example</w:t>
      </w:r>
      <w:r w:rsidR="00B520EF" w:rsidRPr="006552E9">
        <w:t>,</w:t>
      </w:r>
      <w:r w:rsidR="00C5174B" w:rsidRPr="006552E9">
        <w:t xml:space="preserve"> </w:t>
      </w:r>
      <w:r w:rsidR="003F66E5" w:rsidRPr="006552E9">
        <w:t xml:space="preserve">building our </w:t>
      </w:r>
      <w:r w:rsidR="00C5174B" w:rsidRPr="006552E9">
        <w:t xml:space="preserve">advocacy </w:t>
      </w:r>
      <w:r w:rsidR="003F66E5" w:rsidRPr="006552E9">
        <w:t xml:space="preserve">role </w:t>
      </w:r>
      <w:r w:rsidR="00C5174B" w:rsidRPr="006552E9">
        <w:t>and improving internal processes and systems.</w:t>
      </w:r>
      <w:r w:rsidR="00CB612E" w:rsidRPr="006552E9">
        <w:t xml:space="preserve"> </w:t>
      </w:r>
    </w:p>
    <w:p w:rsidR="00C5174B" w:rsidRPr="006552E9" w:rsidRDefault="00C5174B" w:rsidP="00FF7D82">
      <w:r w:rsidRPr="006552E9">
        <w:t>We have begun the important work of implementing new information systems and streamlining our decision-making processes, to make processes simpler for clients and staff.</w:t>
      </w:r>
    </w:p>
    <w:p w:rsidR="00C5174B" w:rsidRPr="006552E9" w:rsidRDefault="00C5174B" w:rsidP="00FF7D82">
      <w:r w:rsidRPr="006552E9">
        <w:t>We have also had to make decisions on our Wellington office space following the July and August 2013 Marlborough earthquakes.</w:t>
      </w:r>
    </w:p>
    <w:p w:rsidR="00C5174B" w:rsidRPr="006552E9" w:rsidRDefault="00C5174B" w:rsidP="00C5174B">
      <w:pPr>
        <w:pStyle w:val="Heading4"/>
      </w:pPr>
      <w:r w:rsidRPr="006552E9">
        <w:t xml:space="preserve">Acknowledgements </w:t>
      </w:r>
    </w:p>
    <w:p w:rsidR="00FF7D82" w:rsidRPr="006552E9" w:rsidRDefault="00DC19BD" w:rsidP="00FF7D82">
      <w:r w:rsidRPr="006552E9">
        <w:t>W</w:t>
      </w:r>
      <w:r w:rsidR="00FF7D82" w:rsidRPr="006552E9">
        <w:t xml:space="preserve">e thank our primary investors – the Ministry for Culture and Heritage and </w:t>
      </w:r>
      <w:r w:rsidRPr="006552E9">
        <w:t xml:space="preserve">the </w:t>
      </w:r>
      <w:r w:rsidR="00FF7D82" w:rsidRPr="006552E9">
        <w:t xml:space="preserve">New Zealand Lottery Grants Board. We are grateful for the ongoing support of our Minister, the Hon Christopher Finlayson, and the presiding </w:t>
      </w:r>
      <w:r w:rsidRPr="006552E9">
        <w:t xml:space="preserve">member of the Lottery Grants Board, the </w:t>
      </w:r>
      <w:r w:rsidR="00FF7D82" w:rsidRPr="006552E9">
        <w:t xml:space="preserve">Minister of Internal Affairs, the Hon Chris Tremain. </w:t>
      </w:r>
    </w:p>
    <w:p w:rsidR="00FF7D82" w:rsidRPr="006552E9" w:rsidRDefault="00FF7D82" w:rsidP="00FF7D82">
      <w:r w:rsidRPr="006552E9">
        <w:t>Finally, we acknowledge the ongoing commitment of our staff, appointed board and council members, peer advisers and the many artists, partners, patrons and people in our communities who support the arts in New Zealand.</w:t>
      </w:r>
    </w:p>
    <w:p w:rsidR="001C4B75" w:rsidRPr="006552E9" w:rsidRDefault="001C4B75" w:rsidP="001C4B75"/>
    <w:p w:rsidR="00474AC6" w:rsidRPr="006552E9" w:rsidRDefault="00474AC6" w:rsidP="00B83DB1">
      <w:pPr>
        <w:spacing w:before="0"/>
      </w:pPr>
    </w:p>
    <w:p w:rsidR="00CF36DC" w:rsidRPr="006552E9" w:rsidRDefault="00CF36DC" w:rsidP="00B83DB1">
      <w:pPr>
        <w:spacing w:before="0"/>
      </w:pPr>
    </w:p>
    <w:p w:rsidR="00CF36DC" w:rsidRPr="006552E9" w:rsidRDefault="00891516" w:rsidP="00B83DB1">
      <w:pPr>
        <w:spacing w:before="0"/>
      </w:pPr>
      <w:r w:rsidRPr="006552E9">
        <w:rPr>
          <w:noProof/>
        </w:rPr>
        <w:drawing>
          <wp:anchor distT="0" distB="0" distL="114300" distR="114300" simplePos="0" relativeHeight="251655168" behindDoc="0" locked="0" layoutInCell="1" allowOverlap="1" wp14:anchorId="3A29C0B7" wp14:editId="6ED30CD6">
            <wp:simplePos x="0" y="0"/>
            <wp:positionH relativeFrom="margin">
              <wp:posOffset>3307715</wp:posOffset>
            </wp:positionH>
            <wp:positionV relativeFrom="margin">
              <wp:posOffset>6668135</wp:posOffset>
            </wp:positionV>
            <wp:extent cx="1586865" cy="618490"/>
            <wp:effectExtent l="0" t="0" r="0" b="0"/>
            <wp:wrapSquare wrapText="bothSides"/>
            <wp:docPr id="976" name="Picture 396"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690"/>
                    <pic:cNvPicPr>
                      <a:picLocks noChangeAspect="1" noChangeArrowheads="1"/>
                    </pic:cNvPicPr>
                  </pic:nvPicPr>
                  <pic:blipFill>
                    <a:blip r:embed="rId16" cstate="print">
                      <a:extLst>
                        <a:ext uri="{28A0092B-C50C-407E-A947-70E740481C1C}">
                          <a14:useLocalDpi xmlns:a14="http://schemas.microsoft.com/office/drawing/2010/main" val="0"/>
                        </a:ext>
                      </a:extLst>
                    </a:blip>
                    <a:srcRect b="-5"/>
                    <a:stretch>
                      <a:fillRect/>
                    </a:stretch>
                  </pic:blipFill>
                  <pic:spPr bwMode="auto">
                    <a:xfrm>
                      <a:off x="0" y="0"/>
                      <a:ext cx="1586865" cy="618490"/>
                    </a:xfrm>
                    <a:prstGeom prst="rect">
                      <a:avLst/>
                    </a:prstGeom>
                    <a:noFill/>
                    <a:ln>
                      <a:noFill/>
                    </a:ln>
                  </pic:spPr>
                </pic:pic>
              </a:graphicData>
            </a:graphic>
          </wp:anchor>
        </w:drawing>
      </w:r>
      <w:r w:rsidRPr="006552E9">
        <w:rPr>
          <w:noProof/>
        </w:rPr>
        <w:drawing>
          <wp:inline distT="0" distB="0" distL="0" distR="0" wp14:anchorId="31A05E36" wp14:editId="704B09D1">
            <wp:extent cx="1463040" cy="813816"/>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 s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813816"/>
                    </a:xfrm>
                    <a:prstGeom prst="rect">
                      <a:avLst/>
                    </a:prstGeom>
                  </pic:spPr>
                </pic:pic>
              </a:graphicData>
            </a:graphic>
          </wp:inline>
        </w:drawing>
      </w:r>
    </w:p>
    <w:p w:rsidR="00363FB8" w:rsidRPr="006552E9" w:rsidRDefault="00363FB8" w:rsidP="00B83DB1">
      <w:pPr>
        <w:spacing w:before="0"/>
      </w:pPr>
    </w:p>
    <w:p w:rsidR="001C4B75" w:rsidRPr="006552E9" w:rsidRDefault="00194037" w:rsidP="00363FB8">
      <w:pPr>
        <w:spacing w:before="0"/>
        <w:jc w:val="left"/>
      </w:pPr>
      <w:r w:rsidRPr="006552E9">
        <w:t>R</w:t>
      </w:r>
      <w:r w:rsidR="00891516" w:rsidRPr="006552E9">
        <w:t xml:space="preserve"> </w:t>
      </w:r>
      <w:r w:rsidRPr="006552E9">
        <w:t>S Grant</w:t>
      </w:r>
      <w:r w:rsidRPr="006552E9">
        <w:tab/>
      </w:r>
      <w:r w:rsidR="001C4B75" w:rsidRPr="006552E9">
        <w:tab/>
      </w:r>
      <w:r w:rsidR="001C4B75" w:rsidRPr="006552E9">
        <w:tab/>
      </w:r>
      <w:r w:rsidR="001C4B75" w:rsidRPr="006552E9">
        <w:tab/>
      </w:r>
      <w:r w:rsidR="00363FB8" w:rsidRPr="006552E9">
        <w:tab/>
      </w:r>
      <w:r w:rsidR="00363FB8" w:rsidRPr="006552E9">
        <w:tab/>
      </w:r>
      <w:r w:rsidR="00CF36DC" w:rsidRPr="006552E9">
        <w:t>Stephen Wainwright</w:t>
      </w:r>
    </w:p>
    <w:p w:rsidR="00F153DA" w:rsidRPr="006552E9" w:rsidRDefault="00CF36DC" w:rsidP="00547123">
      <w:pPr>
        <w:spacing w:before="0"/>
      </w:pPr>
      <w:r w:rsidRPr="006552E9">
        <w:t>Chair, Arts Council</w:t>
      </w:r>
      <w:r w:rsidRPr="006552E9">
        <w:tab/>
      </w:r>
      <w:r w:rsidRPr="006552E9">
        <w:tab/>
      </w:r>
      <w:r w:rsidRPr="006552E9">
        <w:tab/>
      </w:r>
      <w:r w:rsidRPr="006552E9">
        <w:tab/>
      </w:r>
      <w:r w:rsidRPr="006552E9">
        <w:tab/>
        <w:t>Chief Executive</w:t>
      </w:r>
    </w:p>
    <w:p w:rsidR="00F153DA" w:rsidRPr="006552E9" w:rsidRDefault="00F153DA" w:rsidP="000F78B0">
      <w:pPr>
        <w:pStyle w:val="Heading2"/>
        <w:sectPr w:rsidR="00F153DA" w:rsidRPr="006552E9" w:rsidSect="00910F52">
          <w:pgSz w:w="11907" w:h="16840" w:code="9"/>
          <w:pgMar w:top="1440" w:right="1440" w:bottom="1440" w:left="1440" w:header="708" w:footer="708" w:gutter="0"/>
          <w:cols w:space="708"/>
          <w:docGrid w:linePitch="360"/>
        </w:sectPr>
      </w:pPr>
    </w:p>
    <w:p w:rsidR="008F739B" w:rsidRPr="006552E9" w:rsidRDefault="00A56C54" w:rsidP="00CE0EC7">
      <w:pPr>
        <w:pStyle w:val="Title"/>
        <w:jc w:val="left"/>
        <w:rPr>
          <w:i/>
        </w:rPr>
      </w:pPr>
      <w:bookmarkStart w:id="4" w:name="_Toc276561843"/>
      <w:bookmarkStart w:id="5" w:name="_Toc303265769"/>
      <w:bookmarkStart w:id="6" w:name="_Toc373414990"/>
      <w:bookmarkEnd w:id="3"/>
      <w:r w:rsidRPr="006552E9">
        <w:t xml:space="preserve">PART </w:t>
      </w:r>
      <w:r w:rsidR="00194037" w:rsidRPr="006552E9">
        <w:t>ONE</w:t>
      </w:r>
      <w:r w:rsidRPr="006552E9">
        <w:t xml:space="preserve">: </w:t>
      </w:r>
      <w:r w:rsidR="008D6808" w:rsidRPr="006552E9">
        <w:t xml:space="preserve">THE YEAR IN REVIEW </w:t>
      </w:r>
      <w:r w:rsidR="00B42F83" w:rsidRPr="006552E9">
        <w:t xml:space="preserve">| </w:t>
      </w:r>
      <w:r w:rsidR="00FF7DBB" w:rsidRPr="006552E9">
        <w:br/>
      </w:r>
      <w:r w:rsidR="008D6808" w:rsidRPr="006552E9">
        <w:rPr>
          <w:i/>
        </w:rPr>
        <w:t>TE T</w:t>
      </w:r>
      <w:r w:rsidR="00B42F83" w:rsidRPr="006552E9">
        <w:rPr>
          <w:i/>
        </w:rPr>
        <w:t>I</w:t>
      </w:r>
      <w:r w:rsidR="008D6808" w:rsidRPr="006552E9">
        <w:rPr>
          <w:i/>
        </w:rPr>
        <w:t>ROHANGA O T</w:t>
      </w:r>
      <w:r w:rsidR="00FA380F" w:rsidRPr="006552E9">
        <w:rPr>
          <w:i/>
        </w:rPr>
        <w:t>Ē</w:t>
      </w:r>
      <w:r w:rsidR="008D6808" w:rsidRPr="006552E9">
        <w:rPr>
          <w:i/>
        </w:rPr>
        <w:t>NEI TAU</w:t>
      </w:r>
      <w:bookmarkEnd w:id="4"/>
      <w:bookmarkEnd w:id="5"/>
      <w:bookmarkEnd w:id="6"/>
    </w:p>
    <w:p w:rsidR="008D6808" w:rsidRPr="006552E9" w:rsidRDefault="008F739B" w:rsidP="005B562C">
      <w:pPr>
        <w:pStyle w:val="Heading1"/>
        <w:jc w:val="left"/>
      </w:pPr>
      <w:r w:rsidRPr="006552E9">
        <w:br w:type="page"/>
      </w:r>
      <w:bookmarkStart w:id="7" w:name="_Toc276561844"/>
      <w:bookmarkStart w:id="8" w:name="_Toc303265770"/>
      <w:bookmarkStart w:id="9" w:name="_Toc339551190"/>
      <w:bookmarkStart w:id="10" w:name="_Toc373414991"/>
      <w:bookmarkStart w:id="11" w:name="_Toc211746135"/>
      <w:r w:rsidR="00640093" w:rsidRPr="006552E9">
        <w:t xml:space="preserve">Highlights and </w:t>
      </w:r>
      <w:r w:rsidR="0098014C" w:rsidRPr="006552E9">
        <w:t xml:space="preserve">achievements </w:t>
      </w:r>
      <w:r w:rsidR="00640093" w:rsidRPr="006552E9">
        <w:t xml:space="preserve">| </w:t>
      </w:r>
      <w:r w:rsidR="00640093" w:rsidRPr="006552E9">
        <w:br/>
        <w:t xml:space="preserve">Ngā </w:t>
      </w:r>
      <w:r w:rsidR="003473D3" w:rsidRPr="006552E9">
        <w:t xml:space="preserve">miramira </w:t>
      </w:r>
      <w:r w:rsidR="00640093" w:rsidRPr="006552E9">
        <w:t>me ngā whakatutukitanga</w:t>
      </w:r>
      <w:bookmarkEnd w:id="7"/>
      <w:bookmarkEnd w:id="8"/>
      <w:bookmarkEnd w:id="9"/>
      <w:bookmarkEnd w:id="10"/>
    </w:p>
    <w:p w:rsidR="00981EBC" w:rsidRPr="006552E9" w:rsidRDefault="00EE448D" w:rsidP="004E77B9">
      <w:r w:rsidRPr="006552E9">
        <w:t xml:space="preserve">During </w:t>
      </w:r>
      <w:r w:rsidR="003C5E8D" w:rsidRPr="006552E9">
        <w:t>2012/13</w:t>
      </w:r>
      <w:r w:rsidRPr="006552E9">
        <w:t>, Creative New Zealand maintained the record levels of support to the arts sector achieved in 2011/12</w:t>
      </w:r>
      <w:r w:rsidR="009C6829" w:rsidRPr="006552E9">
        <w:t>.</w:t>
      </w:r>
      <w:r w:rsidR="00175E6D" w:rsidRPr="006552E9">
        <w:t xml:space="preserve"> </w:t>
      </w:r>
      <w:r w:rsidRPr="006552E9">
        <w:t xml:space="preserve">A total of $38.6 million was </w:t>
      </w:r>
      <w:r w:rsidR="008B66A7" w:rsidRPr="006552E9">
        <w:t xml:space="preserve">directly </w:t>
      </w:r>
      <w:r w:rsidRPr="006552E9">
        <w:t xml:space="preserve">invested in the sector </w:t>
      </w:r>
      <w:r w:rsidR="00DC19BD" w:rsidRPr="006552E9">
        <w:t xml:space="preserve">through our </w:t>
      </w:r>
      <w:r w:rsidRPr="006552E9">
        <w:t>funding, capability building and advocacy</w:t>
      </w:r>
      <w:r w:rsidR="00DC19BD" w:rsidRPr="006552E9">
        <w:t xml:space="preserve"> p</w:t>
      </w:r>
      <w:r w:rsidR="00DF4954" w:rsidRPr="006552E9">
        <w:t>ro</w:t>
      </w:r>
      <w:r w:rsidR="00DC19BD" w:rsidRPr="006552E9">
        <w:t>grammes</w:t>
      </w:r>
      <w:r w:rsidRPr="006552E9">
        <w:t>.</w:t>
      </w:r>
    </w:p>
    <w:p w:rsidR="00232557" w:rsidRPr="006552E9" w:rsidRDefault="00232557" w:rsidP="00232557">
      <w:pPr>
        <w:pStyle w:val="Heading2"/>
      </w:pPr>
      <w:bookmarkStart w:id="12" w:name="_Toc373414992"/>
      <w:r w:rsidRPr="006552E9">
        <w:t>Summary of our activity in 2012/13</w:t>
      </w:r>
      <w:bookmarkEnd w:id="12"/>
    </w:p>
    <w:tbl>
      <w:tblPr>
        <w:tblW w:w="0" w:type="auto"/>
        <w:tblCellMar>
          <w:top w:w="57" w:type="dxa"/>
          <w:bottom w:w="57" w:type="dxa"/>
        </w:tblCellMar>
        <w:tblLook w:val="04A0" w:firstRow="1" w:lastRow="0" w:firstColumn="1" w:lastColumn="0" w:noHBand="0" w:noVBand="1"/>
      </w:tblPr>
      <w:tblGrid>
        <w:gridCol w:w="1229"/>
        <w:gridCol w:w="8014"/>
      </w:tblGrid>
      <w:tr w:rsidR="00232557" w:rsidRPr="006552E9" w:rsidTr="00FF42BA">
        <w:tc>
          <w:tcPr>
            <w:tcW w:w="1229" w:type="dxa"/>
          </w:tcPr>
          <w:p w:rsidR="00232557" w:rsidRPr="006552E9" w:rsidRDefault="0064276F" w:rsidP="00FF42BA">
            <w:pPr>
              <w:spacing w:before="120"/>
              <w:jc w:val="right"/>
              <w:rPr>
                <w:b/>
                <w:sz w:val="28"/>
                <w:szCs w:val="28"/>
              </w:rPr>
            </w:pPr>
            <w:r w:rsidRPr="006552E9">
              <w:rPr>
                <w:b/>
                <w:sz w:val="28"/>
                <w:szCs w:val="28"/>
              </w:rPr>
              <w:t>80</w:t>
            </w:r>
          </w:p>
        </w:tc>
        <w:tc>
          <w:tcPr>
            <w:tcW w:w="8014" w:type="dxa"/>
          </w:tcPr>
          <w:p w:rsidR="00232557" w:rsidRPr="006552E9" w:rsidRDefault="00232557" w:rsidP="00FF42BA">
            <w:pPr>
              <w:spacing w:before="120"/>
              <w:jc w:val="left"/>
            </w:pPr>
            <w:r w:rsidRPr="006552E9">
              <w:t xml:space="preserve">organisations were funded through our Tōtara and Kahikatea </w:t>
            </w:r>
            <w:r w:rsidR="008B66A7" w:rsidRPr="006552E9">
              <w:t xml:space="preserve">investment </w:t>
            </w:r>
            <w:r w:rsidRPr="006552E9">
              <w:t>programmes</w:t>
            </w:r>
          </w:p>
        </w:tc>
      </w:tr>
      <w:tr w:rsidR="00232557" w:rsidRPr="006552E9" w:rsidTr="00FF42BA">
        <w:tc>
          <w:tcPr>
            <w:tcW w:w="1229" w:type="dxa"/>
          </w:tcPr>
          <w:p w:rsidR="00232557" w:rsidRPr="006552E9" w:rsidRDefault="00255E12" w:rsidP="0014799E">
            <w:pPr>
              <w:spacing w:before="0"/>
              <w:jc w:val="right"/>
            </w:pPr>
            <w:r w:rsidRPr="006552E9">
              <w:rPr>
                <w:b/>
                <w:sz w:val="28"/>
                <w:szCs w:val="28"/>
              </w:rPr>
              <w:t>5,869</w:t>
            </w:r>
          </w:p>
        </w:tc>
        <w:tc>
          <w:tcPr>
            <w:tcW w:w="8014" w:type="dxa"/>
          </w:tcPr>
          <w:p w:rsidR="00232557" w:rsidRPr="006552E9" w:rsidRDefault="00232557" w:rsidP="0014799E">
            <w:pPr>
              <w:spacing w:before="0"/>
              <w:jc w:val="left"/>
            </w:pPr>
            <w:r w:rsidRPr="006552E9">
              <w:t>public arts events/performances were run by our Tōtara and Kahikatea organisations</w:t>
            </w:r>
            <w:r w:rsidR="008B66A7" w:rsidRPr="006552E9">
              <w:t xml:space="preserve"> with continuous programmes</w:t>
            </w:r>
            <w:r w:rsidRPr="006552E9">
              <w:t>, and</w:t>
            </w:r>
          </w:p>
        </w:tc>
      </w:tr>
      <w:tr w:rsidR="00232557" w:rsidRPr="006552E9" w:rsidTr="00FF42BA">
        <w:tc>
          <w:tcPr>
            <w:tcW w:w="1229" w:type="dxa"/>
            <w:tcBorders>
              <w:bottom w:val="single" w:sz="4" w:space="0" w:color="auto"/>
            </w:tcBorders>
          </w:tcPr>
          <w:p w:rsidR="00232557" w:rsidRPr="006552E9" w:rsidRDefault="00255E12" w:rsidP="0014799E">
            <w:pPr>
              <w:spacing w:before="0"/>
              <w:jc w:val="right"/>
            </w:pPr>
            <w:r w:rsidRPr="006552E9">
              <w:rPr>
                <w:b/>
                <w:sz w:val="28"/>
                <w:szCs w:val="28"/>
              </w:rPr>
              <w:t>701,615</w:t>
            </w:r>
          </w:p>
        </w:tc>
        <w:tc>
          <w:tcPr>
            <w:tcW w:w="8014" w:type="dxa"/>
            <w:tcBorders>
              <w:bottom w:val="single" w:sz="4" w:space="0" w:color="auto"/>
            </w:tcBorders>
          </w:tcPr>
          <w:p w:rsidR="00232557" w:rsidRPr="006552E9" w:rsidRDefault="00232557" w:rsidP="0014799E">
            <w:pPr>
              <w:spacing w:before="0"/>
              <w:jc w:val="left"/>
            </w:pPr>
            <w:r w:rsidRPr="006552E9">
              <w:t>people attended these public arts events/performances.</w:t>
            </w:r>
          </w:p>
        </w:tc>
      </w:tr>
      <w:tr w:rsidR="00232557" w:rsidRPr="006552E9" w:rsidTr="00FF42BA">
        <w:tc>
          <w:tcPr>
            <w:tcW w:w="1229" w:type="dxa"/>
            <w:tcBorders>
              <w:top w:val="single" w:sz="4" w:space="0" w:color="auto"/>
            </w:tcBorders>
          </w:tcPr>
          <w:p w:rsidR="00232557" w:rsidRPr="006552E9" w:rsidRDefault="0064276F" w:rsidP="0014799E">
            <w:pPr>
              <w:spacing w:before="0"/>
              <w:jc w:val="right"/>
            </w:pPr>
            <w:r w:rsidRPr="006552E9">
              <w:rPr>
                <w:b/>
                <w:sz w:val="28"/>
                <w:szCs w:val="28"/>
              </w:rPr>
              <w:t>1,295</w:t>
            </w:r>
          </w:p>
        </w:tc>
        <w:tc>
          <w:tcPr>
            <w:tcW w:w="8014" w:type="dxa"/>
            <w:tcBorders>
              <w:top w:val="single" w:sz="4" w:space="0" w:color="auto"/>
            </w:tcBorders>
          </w:tcPr>
          <w:p w:rsidR="00232557" w:rsidRPr="006552E9" w:rsidRDefault="00232557" w:rsidP="0014799E">
            <w:pPr>
              <w:spacing w:before="0"/>
              <w:jc w:val="left"/>
            </w:pPr>
            <w:r w:rsidRPr="006552E9">
              <w:t xml:space="preserve">applications for </w:t>
            </w:r>
            <w:r w:rsidR="005F3F16" w:rsidRPr="006552E9">
              <w:t xml:space="preserve">grants </w:t>
            </w:r>
            <w:r w:rsidR="008B66A7" w:rsidRPr="006552E9">
              <w:t xml:space="preserve">and special opportunities </w:t>
            </w:r>
            <w:r w:rsidRPr="006552E9">
              <w:t>funding were received and assessed in</w:t>
            </w:r>
          </w:p>
        </w:tc>
      </w:tr>
      <w:tr w:rsidR="00232557" w:rsidRPr="006552E9" w:rsidTr="00FF42BA">
        <w:tc>
          <w:tcPr>
            <w:tcW w:w="1229" w:type="dxa"/>
          </w:tcPr>
          <w:p w:rsidR="00232557" w:rsidRPr="006552E9" w:rsidRDefault="0064276F" w:rsidP="0014799E">
            <w:pPr>
              <w:spacing w:before="0"/>
              <w:jc w:val="right"/>
            </w:pPr>
            <w:r w:rsidRPr="006552E9">
              <w:rPr>
                <w:b/>
                <w:sz w:val="28"/>
                <w:szCs w:val="28"/>
              </w:rPr>
              <w:t>5</w:t>
            </w:r>
          </w:p>
        </w:tc>
        <w:tc>
          <w:tcPr>
            <w:tcW w:w="8014" w:type="dxa"/>
          </w:tcPr>
          <w:p w:rsidR="00232557" w:rsidRPr="006552E9" w:rsidRDefault="005F3F16" w:rsidP="0014799E">
            <w:pPr>
              <w:spacing w:before="0"/>
              <w:jc w:val="left"/>
            </w:pPr>
            <w:r w:rsidRPr="006552E9">
              <w:t xml:space="preserve">arts grant and quick response </w:t>
            </w:r>
            <w:r w:rsidR="00232557" w:rsidRPr="006552E9">
              <w:t>funding rounds, from which</w:t>
            </w:r>
          </w:p>
        </w:tc>
      </w:tr>
      <w:tr w:rsidR="00232557" w:rsidRPr="006552E9" w:rsidTr="00FF42BA">
        <w:tc>
          <w:tcPr>
            <w:tcW w:w="1229" w:type="dxa"/>
            <w:tcBorders>
              <w:bottom w:val="single" w:sz="4" w:space="0" w:color="auto"/>
            </w:tcBorders>
          </w:tcPr>
          <w:p w:rsidR="00232557" w:rsidRPr="006552E9" w:rsidRDefault="0064276F" w:rsidP="005F3F16">
            <w:pPr>
              <w:spacing w:before="0"/>
              <w:jc w:val="right"/>
            </w:pPr>
            <w:r w:rsidRPr="006552E9">
              <w:rPr>
                <w:b/>
                <w:sz w:val="28"/>
                <w:szCs w:val="28"/>
              </w:rPr>
              <w:t>46</w:t>
            </w:r>
            <w:r w:rsidR="005F3F16" w:rsidRPr="006552E9">
              <w:rPr>
                <w:b/>
                <w:sz w:val="28"/>
                <w:szCs w:val="28"/>
              </w:rPr>
              <w:t>0</w:t>
            </w:r>
          </w:p>
        </w:tc>
        <w:tc>
          <w:tcPr>
            <w:tcW w:w="8014" w:type="dxa"/>
            <w:tcBorders>
              <w:bottom w:val="single" w:sz="4" w:space="0" w:color="auto"/>
            </w:tcBorders>
          </w:tcPr>
          <w:p w:rsidR="00232557" w:rsidRPr="006552E9" w:rsidRDefault="00232557" w:rsidP="0014799E">
            <w:pPr>
              <w:spacing w:before="0"/>
              <w:jc w:val="left"/>
            </w:pPr>
            <w:r w:rsidRPr="006552E9">
              <w:t>grants were awarded to individuals and organisations.</w:t>
            </w:r>
          </w:p>
        </w:tc>
      </w:tr>
      <w:tr w:rsidR="00232557" w:rsidRPr="006552E9" w:rsidTr="00FF42BA">
        <w:tc>
          <w:tcPr>
            <w:tcW w:w="1229" w:type="dxa"/>
            <w:tcBorders>
              <w:top w:val="single" w:sz="4" w:space="0" w:color="auto"/>
            </w:tcBorders>
          </w:tcPr>
          <w:p w:rsidR="00232557" w:rsidRPr="006552E9" w:rsidRDefault="00255E12" w:rsidP="0014799E">
            <w:pPr>
              <w:spacing w:before="0"/>
              <w:jc w:val="right"/>
            </w:pPr>
            <w:r w:rsidRPr="006552E9">
              <w:rPr>
                <w:b/>
                <w:sz w:val="28"/>
                <w:szCs w:val="28"/>
              </w:rPr>
              <w:t>267</w:t>
            </w:r>
          </w:p>
        </w:tc>
        <w:tc>
          <w:tcPr>
            <w:tcW w:w="8014" w:type="dxa"/>
            <w:tcBorders>
              <w:top w:val="single" w:sz="4" w:space="0" w:color="auto"/>
            </w:tcBorders>
          </w:tcPr>
          <w:p w:rsidR="00232557" w:rsidRPr="006552E9" w:rsidRDefault="00232557" w:rsidP="0014799E">
            <w:pPr>
              <w:spacing w:before="0"/>
              <w:jc w:val="left"/>
            </w:pPr>
            <w:r w:rsidRPr="006552E9">
              <w:t>new works were developed through our Grants and Investments funding, and</w:t>
            </w:r>
          </w:p>
        </w:tc>
      </w:tr>
      <w:tr w:rsidR="00232557" w:rsidRPr="006552E9" w:rsidTr="00FF42BA">
        <w:tc>
          <w:tcPr>
            <w:tcW w:w="1229" w:type="dxa"/>
            <w:tcBorders>
              <w:bottom w:val="single" w:sz="4" w:space="0" w:color="auto"/>
            </w:tcBorders>
          </w:tcPr>
          <w:p w:rsidR="00232557" w:rsidRPr="006552E9" w:rsidRDefault="00255E12" w:rsidP="0014799E">
            <w:pPr>
              <w:spacing w:before="0"/>
              <w:jc w:val="right"/>
            </w:pPr>
            <w:r w:rsidRPr="006552E9">
              <w:rPr>
                <w:b/>
                <w:sz w:val="28"/>
                <w:szCs w:val="28"/>
              </w:rPr>
              <w:t>416</w:t>
            </w:r>
          </w:p>
        </w:tc>
        <w:tc>
          <w:tcPr>
            <w:tcW w:w="8014" w:type="dxa"/>
            <w:tcBorders>
              <w:bottom w:val="single" w:sz="4" w:space="0" w:color="auto"/>
            </w:tcBorders>
          </w:tcPr>
          <w:p w:rsidR="00232557" w:rsidRPr="006552E9" w:rsidRDefault="00232557" w:rsidP="0014799E">
            <w:pPr>
              <w:spacing w:before="0"/>
              <w:jc w:val="left"/>
            </w:pPr>
            <w:r w:rsidRPr="006552E9">
              <w:t>New Zealand works were presented during the year.</w:t>
            </w:r>
          </w:p>
        </w:tc>
      </w:tr>
      <w:tr w:rsidR="00232557" w:rsidRPr="006552E9" w:rsidTr="00FF42BA">
        <w:tc>
          <w:tcPr>
            <w:tcW w:w="1229" w:type="dxa"/>
            <w:tcBorders>
              <w:top w:val="single" w:sz="4" w:space="0" w:color="auto"/>
            </w:tcBorders>
          </w:tcPr>
          <w:p w:rsidR="00232557" w:rsidRPr="006552E9" w:rsidRDefault="0064276F" w:rsidP="0014799E">
            <w:pPr>
              <w:spacing w:before="0"/>
              <w:jc w:val="right"/>
            </w:pPr>
            <w:r w:rsidRPr="006552E9">
              <w:rPr>
                <w:b/>
                <w:sz w:val="28"/>
                <w:szCs w:val="28"/>
              </w:rPr>
              <w:t>2,463</w:t>
            </w:r>
          </w:p>
        </w:tc>
        <w:tc>
          <w:tcPr>
            <w:tcW w:w="8014" w:type="dxa"/>
            <w:tcBorders>
              <w:top w:val="single" w:sz="4" w:space="0" w:color="auto"/>
            </w:tcBorders>
          </w:tcPr>
          <w:p w:rsidR="00232557" w:rsidRPr="006552E9" w:rsidRDefault="00232557" w:rsidP="00DC19BD">
            <w:pPr>
              <w:spacing w:before="0"/>
              <w:jc w:val="left"/>
            </w:pPr>
            <w:r w:rsidRPr="006552E9">
              <w:t xml:space="preserve">applications for funding </w:t>
            </w:r>
            <w:r w:rsidR="00DC19BD" w:rsidRPr="006552E9">
              <w:t xml:space="preserve">by </w:t>
            </w:r>
            <w:r w:rsidRPr="006552E9">
              <w:t>the Creative Communities Scheme were assessed and considered by</w:t>
            </w:r>
          </w:p>
        </w:tc>
      </w:tr>
      <w:tr w:rsidR="00232557" w:rsidRPr="006552E9" w:rsidTr="00FF42BA">
        <w:tc>
          <w:tcPr>
            <w:tcW w:w="1229" w:type="dxa"/>
          </w:tcPr>
          <w:p w:rsidR="00232557" w:rsidRPr="006552E9" w:rsidRDefault="0064276F" w:rsidP="0014799E">
            <w:pPr>
              <w:spacing w:before="0"/>
              <w:jc w:val="right"/>
            </w:pPr>
            <w:r w:rsidRPr="006552E9">
              <w:rPr>
                <w:b/>
                <w:sz w:val="28"/>
                <w:szCs w:val="28"/>
              </w:rPr>
              <w:t>67</w:t>
            </w:r>
          </w:p>
        </w:tc>
        <w:tc>
          <w:tcPr>
            <w:tcW w:w="8014" w:type="dxa"/>
          </w:tcPr>
          <w:p w:rsidR="00232557" w:rsidRPr="006552E9" w:rsidRDefault="00232557" w:rsidP="0014799E">
            <w:pPr>
              <w:spacing w:before="0"/>
              <w:jc w:val="left"/>
            </w:pPr>
            <w:r w:rsidRPr="006552E9">
              <w:t>local authorities, and</w:t>
            </w:r>
          </w:p>
        </w:tc>
      </w:tr>
      <w:tr w:rsidR="00232557" w:rsidRPr="006552E9" w:rsidTr="00FF42BA">
        <w:tc>
          <w:tcPr>
            <w:tcW w:w="1229" w:type="dxa"/>
          </w:tcPr>
          <w:p w:rsidR="00232557" w:rsidRPr="006552E9" w:rsidRDefault="0064276F" w:rsidP="0014799E">
            <w:pPr>
              <w:spacing w:before="0"/>
              <w:jc w:val="right"/>
            </w:pPr>
            <w:r w:rsidRPr="006552E9">
              <w:rPr>
                <w:b/>
                <w:sz w:val="28"/>
                <w:szCs w:val="28"/>
              </w:rPr>
              <w:t>1,777</w:t>
            </w:r>
          </w:p>
        </w:tc>
        <w:tc>
          <w:tcPr>
            <w:tcW w:w="8014" w:type="dxa"/>
          </w:tcPr>
          <w:p w:rsidR="00232557" w:rsidRPr="006552E9" w:rsidRDefault="00232557" w:rsidP="0014799E">
            <w:pPr>
              <w:spacing w:before="0"/>
              <w:jc w:val="left"/>
            </w:pPr>
            <w:r w:rsidRPr="006552E9">
              <w:t xml:space="preserve">grants were awarded, with a </w:t>
            </w:r>
          </w:p>
        </w:tc>
      </w:tr>
      <w:tr w:rsidR="00232557" w:rsidRPr="006552E9" w:rsidTr="00FF42BA">
        <w:tc>
          <w:tcPr>
            <w:tcW w:w="1229" w:type="dxa"/>
            <w:tcBorders>
              <w:bottom w:val="single" w:sz="4" w:space="0" w:color="auto"/>
            </w:tcBorders>
          </w:tcPr>
          <w:p w:rsidR="00232557" w:rsidRPr="006552E9" w:rsidRDefault="0064276F" w:rsidP="0014799E">
            <w:pPr>
              <w:spacing w:before="0"/>
              <w:jc w:val="right"/>
            </w:pPr>
            <w:r w:rsidRPr="006552E9">
              <w:rPr>
                <w:b/>
                <w:sz w:val="28"/>
                <w:szCs w:val="28"/>
              </w:rPr>
              <w:t>$1,779</w:t>
            </w:r>
          </w:p>
        </w:tc>
        <w:tc>
          <w:tcPr>
            <w:tcW w:w="8014" w:type="dxa"/>
            <w:tcBorders>
              <w:bottom w:val="single" w:sz="4" w:space="0" w:color="auto"/>
            </w:tcBorders>
          </w:tcPr>
          <w:p w:rsidR="00232557" w:rsidRPr="006552E9" w:rsidRDefault="00232557" w:rsidP="00507602">
            <w:pPr>
              <w:spacing w:before="0"/>
              <w:jc w:val="left"/>
            </w:pPr>
            <w:r w:rsidRPr="006552E9">
              <w:t>average grant value.</w:t>
            </w:r>
          </w:p>
        </w:tc>
      </w:tr>
      <w:tr w:rsidR="00232557" w:rsidRPr="006552E9" w:rsidTr="00FF42BA">
        <w:tc>
          <w:tcPr>
            <w:tcW w:w="1229" w:type="dxa"/>
            <w:tcBorders>
              <w:top w:val="single" w:sz="4" w:space="0" w:color="auto"/>
              <w:bottom w:val="single" w:sz="4" w:space="0" w:color="auto"/>
            </w:tcBorders>
          </w:tcPr>
          <w:p w:rsidR="00232557" w:rsidRPr="006552E9" w:rsidRDefault="00D53609" w:rsidP="0014799E">
            <w:pPr>
              <w:spacing w:before="0"/>
              <w:jc w:val="right"/>
              <w:rPr>
                <w:b/>
                <w:sz w:val="28"/>
                <w:szCs w:val="28"/>
              </w:rPr>
            </w:pPr>
            <w:r w:rsidRPr="006552E9">
              <w:rPr>
                <w:b/>
                <w:sz w:val="28"/>
                <w:szCs w:val="28"/>
              </w:rPr>
              <w:t>25</w:t>
            </w:r>
          </w:p>
          <w:p w:rsidR="00D53609" w:rsidRPr="006552E9" w:rsidRDefault="00D53609" w:rsidP="0014799E">
            <w:pPr>
              <w:spacing w:before="0"/>
              <w:jc w:val="right"/>
            </w:pPr>
          </w:p>
        </w:tc>
        <w:tc>
          <w:tcPr>
            <w:tcW w:w="8014" w:type="dxa"/>
            <w:tcBorders>
              <w:top w:val="single" w:sz="4" w:space="0" w:color="auto"/>
              <w:bottom w:val="single" w:sz="4" w:space="0" w:color="auto"/>
            </w:tcBorders>
          </w:tcPr>
          <w:p w:rsidR="00232557" w:rsidRPr="006552E9" w:rsidRDefault="00232557" w:rsidP="009F582C">
            <w:pPr>
              <w:spacing w:before="0"/>
              <w:jc w:val="left"/>
            </w:pPr>
            <w:r w:rsidRPr="006552E9">
              <w:t xml:space="preserve">projects </w:t>
            </w:r>
            <w:r w:rsidR="000E2F59" w:rsidRPr="006552E9">
              <w:t xml:space="preserve">were supported to present internationally by </w:t>
            </w:r>
            <w:r w:rsidR="000D5DD7" w:rsidRPr="006552E9">
              <w:t>funding from</w:t>
            </w:r>
            <w:r w:rsidR="000E2F59" w:rsidRPr="006552E9">
              <w:t xml:space="preserve"> our International </w:t>
            </w:r>
            <w:r w:rsidR="009A4197" w:rsidRPr="006552E9">
              <w:t xml:space="preserve">Presentation </w:t>
            </w:r>
            <w:r w:rsidR="000E2F59" w:rsidRPr="006552E9">
              <w:t>and events budgets</w:t>
            </w:r>
            <w:r w:rsidR="009C6829" w:rsidRPr="006552E9">
              <w:t>.</w:t>
            </w:r>
            <w:r w:rsidR="00175E6D" w:rsidRPr="006552E9">
              <w:t xml:space="preserve"> </w:t>
            </w:r>
            <w:r w:rsidRPr="006552E9">
              <w:t>The largest of these were</w:t>
            </w:r>
            <w:r w:rsidR="0064276F" w:rsidRPr="006552E9">
              <w:t xml:space="preserve"> the </w:t>
            </w:r>
            <w:r w:rsidR="008B66A7" w:rsidRPr="006552E9">
              <w:t xml:space="preserve">Festival of Pacific Arts, </w:t>
            </w:r>
            <w:r w:rsidR="0064276F" w:rsidRPr="006552E9">
              <w:t>Frankfurt Book Fair (</w:t>
            </w:r>
            <w:r w:rsidR="006366E1" w:rsidRPr="006552E9">
              <w:t xml:space="preserve">2012 </w:t>
            </w:r>
            <w:r w:rsidR="0064276F" w:rsidRPr="006552E9">
              <w:t>Guest Country of Honour)</w:t>
            </w:r>
            <w:r w:rsidRPr="006552E9">
              <w:t xml:space="preserve"> </w:t>
            </w:r>
            <w:r w:rsidR="008B66A7" w:rsidRPr="006552E9">
              <w:t xml:space="preserve">and </w:t>
            </w:r>
            <w:r w:rsidR="00DC19BD" w:rsidRPr="006552E9">
              <w:t xml:space="preserve">the </w:t>
            </w:r>
            <w:r w:rsidR="008B66A7" w:rsidRPr="006552E9">
              <w:t xml:space="preserve">2013 Venice Biennale </w:t>
            </w:r>
            <w:r w:rsidRPr="006552E9">
              <w:t>(</w:t>
            </w:r>
            <w:r w:rsidR="0064276F" w:rsidRPr="006552E9">
              <w:t>all</w:t>
            </w:r>
            <w:r w:rsidRPr="006552E9">
              <w:t xml:space="preserve"> of which </w:t>
            </w:r>
            <w:r w:rsidR="009F582C" w:rsidRPr="006552E9">
              <w:t>arose from government-to-government invitations)</w:t>
            </w:r>
          </w:p>
        </w:tc>
      </w:tr>
      <w:tr w:rsidR="00232557" w:rsidRPr="006552E9" w:rsidTr="005F3F16">
        <w:tc>
          <w:tcPr>
            <w:tcW w:w="1229" w:type="dxa"/>
            <w:tcBorders>
              <w:top w:val="single" w:sz="4" w:space="0" w:color="auto"/>
            </w:tcBorders>
          </w:tcPr>
          <w:p w:rsidR="00232557" w:rsidRPr="006552E9" w:rsidRDefault="000E2F59" w:rsidP="0014799E">
            <w:pPr>
              <w:spacing w:before="0"/>
              <w:jc w:val="right"/>
            </w:pPr>
            <w:r w:rsidRPr="006552E9">
              <w:rPr>
                <w:b/>
                <w:sz w:val="28"/>
                <w:szCs w:val="28"/>
              </w:rPr>
              <w:t>45</w:t>
            </w:r>
          </w:p>
        </w:tc>
        <w:tc>
          <w:tcPr>
            <w:tcW w:w="8014" w:type="dxa"/>
            <w:tcBorders>
              <w:top w:val="single" w:sz="4" w:space="0" w:color="auto"/>
            </w:tcBorders>
          </w:tcPr>
          <w:p w:rsidR="00232557" w:rsidRPr="006552E9" w:rsidRDefault="00232557" w:rsidP="0014799E">
            <w:pPr>
              <w:spacing w:before="0"/>
              <w:jc w:val="left"/>
            </w:pPr>
            <w:r w:rsidRPr="006552E9">
              <w:t xml:space="preserve">capability building initiatives were offered to the arts sector, and </w:t>
            </w:r>
          </w:p>
        </w:tc>
      </w:tr>
      <w:tr w:rsidR="00232557" w:rsidRPr="006552E9" w:rsidTr="005F3F16">
        <w:tc>
          <w:tcPr>
            <w:tcW w:w="1229" w:type="dxa"/>
          </w:tcPr>
          <w:p w:rsidR="00232557" w:rsidRPr="006552E9" w:rsidRDefault="003D4DEF" w:rsidP="0014799E">
            <w:pPr>
              <w:spacing w:before="0"/>
              <w:jc w:val="right"/>
            </w:pPr>
            <w:r w:rsidRPr="006552E9">
              <w:rPr>
                <w:b/>
                <w:sz w:val="28"/>
                <w:szCs w:val="28"/>
              </w:rPr>
              <w:t>965</w:t>
            </w:r>
          </w:p>
        </w:tc>
        <w:tc>
          <w:tcPr>
            <w:tcW w:w="8014" w:type="dxa"/>
          </w:tcPr>
          <w:p w:rsidR="005F3F16" w:rsidRPr="006552E9" w:rsidRDefault="005F3F16" w:rsidP="005F3F16">
            <w:pPr>
              <w:spacing w:before="0"/>
              <w:jc w:val="left"/>
            </w:pPr>
            <w:r w:rsidRPr="006552E9">
              <w:t>people and organisations participated in them, including</w:t>
            </w:r>
          </w:p>
        </w:tc>
      </w:tr>
      <w:tr w:rsidR="005F3F16" w:rsidRPr="006552E9" w:rsidTr="005F3F16">
        <w:tc>
          <w:tcPr>
            <w:tcW w:w="1229" w:type="dxa"/>
            <w:tcBorders>
              <w:bottom w:val="single" w:sz="4" w:space="0" w:color="auto"/>
            </w:tcBorders>
          </w:tcPr>
          <w:p w:rsidR="005F3F16" w:rsidRPr="006552E9" w:rsidRDefault="005F3F16" w:rsidP="0014799E">
            <w:pPr>
              <w:spacing w:before="0"/>
              <w:jc w:val="right"/>
              <w:rPr>
                <w:b/>
                <w:sz w:val="28"/>
                <w:szCs w:val="28"/>
              </w:rPr>
            </w:pPr>
            <w:r w:rsidRPr="006552E9">
              <w:rPr>
                <w:b/>
                <w:sz w:val="28"/>
                <w:szCs w:val="28"/>
              </w:rPr>
              <w:t>193</w:t>
            </w:r>
          </w:p>
        </w:tc>
        <w:tc>
          <w:tcPr>
            <w:tcW w:w="8014" w:type="dxa"/>
            <w:tcBorders>
              <w:bottom w:val="single" w:sz="4" w:space="0" w:color="auto"/>
            </w:tcBorders>
          </w:tcPr>
          <w:p w:rsidR="005F3F16" w:rsidRPr="006552E9" w:rsidRDefault="000E2F59" w:rsidP="005F3F16">
            <w:pPr>
              <w:spacing w:before="0"/>
              <w:jc w:val="left"/>
            </w:pPr>
            <w:r w:rsidRPr="006552E9">
              <w:t xml:space="preserve">who </w:t>
            </w:r>
            <w:r w:rsidR="005F3F16" w:rsidRPr="006552E9">
              <w:t>attended the national arts conference</w:t>
            </w:r>
          </w:p>
        </w:tc>
      </w:tr>
      <w:tr w:rsidR="00232557" w:rsidRPr="006552E9" w:rsidTr="00FF42BA">
        <w:tc>
          <w:tcPr>
            <w:tcW w:w="1229" w:type="dxa"/>
            <w:tcBorders>
              <w:top w:val="single" w:sz="4" w:space="0" w:color="auto"/>
              <w:bottom w:val="single" w:sz="4" w:space="0" w:color="auto"/>
            </w:tcBorders>
          </w:tcPr>
          <w:p w:rsidR="00232557" w:rsidRPr="006552E9" w:rsidRDefault="0064276F" w:rsidP="0014799E">
            <w:pPr>
              <w:spacing w:before="0"/>
              <w:jc w:val="right"/>
            </w:pPr>
            <w:r w:rsidRPr="006552E9">
              <w:rPr>
                <w:b/>
                <w:sz w:val="28"/>
                <w:szCs w:val="28"/>
              </w:rPr>
              <w:t>7</w:t>
            </w:r>
          </w:p>
        </w:tc>
        <w:tc>
          <w:tcPr>
            <w:tcW w:w="8014" w:type="dxa"/>
            <w:tcBorders>
              <w:top w:val="single" w:sz="4" w:space="0" w:color="auto"/>
              <w:bottom w:val="single" w:sz="4" w:space="0" w:color="auto"/>
            </w:tcBorders>
          </w:tcPr>
          <w:p w:rsidR="00232557" w:rsidRPr="006552E9" w:rsidRDefault="00232557" w:rsidP="0014799E">
            <w:pPr>
              <w:spacing w:before="0"/>
              <w:jc w:val="left"/>
            </w:pPr>
            <w:r w:rsidRPr="006552E9">
              <w:t>submissions were made to local and central government as part of our advocacy programme</w:t>
            </w:r>
          </w:p>
        </w:tc>
      </w:tr>
    </w:tbl>
    <w:p w:rsidR="00232557" w:rsidRPr="006552E9" w:rsidRDefault="00232557" w:rsidP="00232557"/>
    <w:p w:rsidR="0032161A" w:rsidRPr="006552E9" w:rsidRDefault="0032161A">
      <w:pPr>
        <w:spacing w:before="0"/>
        <w:jc w:val="left"/>
        <w:rPr>
          <w:b/>
          <w:bCs/>
          <w:iCs/>
          <w:color w:val="365F91"/>
          <w:sz w:val="32"/>
          <w:szCs w:val="28"/>
        </w:rPr>
      </w:pPr>
      <w:r w:rsidRPr="006552E9">
        <w:br w:type="page"/>
      </w:r>
    </w:p>
    <w:p w:rsidR="00EE448D" w:rsidRPr="006552E9" w:rsidRDefault="00FF42BA" w:rsidP="003C5E8D">
      <w:pPr>
        <w:pStyle w:val="Heading2"/>
      </w:pPr>
      <w:bookmarkStart w:id="13" w:name="_Toc373414993"/>
      <w:r w:rsidRPr="006552E9">
        <w:t>Summary of our key achievements</w:t>
      </w:r>
      <w:bookmarkEnd w:id="13"/>
    </w:p>
    <w:p w:rsidR="00EE448D" w:rsidRPr="006552E9" w:rsidRDefault="00FF42BA" w:rsidP="00EE448D">
      <w:r w:rsidRPr="006552E9">
        <w:t>During 2012/13, Creative New Zealand delivered a range of specific initiatives, policy work and activities design</w:t>
      </w:r>
      <w:r w:rsidR="00DC19BD" w:rsidRPr="006552E9">
        <w:t>ed</w:t>
      </w:r>
      <w:r w:rsidRPr="006552E9">
        <w:t xml:space="preserve"> to meet both our commitments to the arts sector and </w:t>
      </w:r>
      <w:r w:rsidR="00DC19BD" w:rsidRPr="006552E9">
        <w:t xml:space="preserve">government </w:t>
      </w:r>
      <w:r w:rsidRPr="006552E9">
        <w:t>priorities</w:t>
      </w:r>
      <w:r w:rsidR="00DC19BD" w:rsidRPr="006552E9">
        <w:t>.</w:t>
      </w:r>
      <w:r w:rsidR="00175E6D" w:rsidRPr="006552E9">
        <w:t xml:space="preserve"> </w:t>
      </w:r>
    </w:p>
    <w:p w:rsidR="00EE448D" w:rsidRPr="006552E9" w:rsidRDefault="00EE448D" w:rsidP="00EE448D">
      <w:pPr>
        <w:pStyle w:val="Heading3"/>
      </w:pPr>
      <w:bookmarkStart w:id="14" w:name="_Toc373414994"/>
      <w:r w:rsidRPr="006552E9">
        <w:t>Initiatives</w:t>
      </w:r>
      <w:bookmarkEnd w:id="14"/>
    </w:p>
    <w:p w:rsidR="00932B4B" w:rsidRPr="006552E9" w:rsidRDefault="00932B4B" w:rsidP="00932B4B">
      <w:pPr>
        <w:pStyle w:val="Heading4"/>
      </w:pPr>
      <w:r w:rsidRPr="006552E9">
        <w:t xml:space="preserve">Auckland Theatre Company Waterfront </w:t>
      </w:r>
      <w:r w:rsidR="009A4197">
        <w:t xml:space="preserve">Theatre </w:t>
      </w:r>
      <w:r w:rsidRPr="006552E9">
        <w:t>project</w:t>
      </w:r>
    </w:p>
    <w:p w:rsidR="00351C8B" w:rsidRPr="006552E9" w:rsidRDefault="00351C8B" w:rsidP="00EE448D">
      <w:r w:rsidRPr="006552E9">
        <w:t>Creative New Zealand agreed to provide a total o</w:t>
      </w:r>
      <w:r w:rsidR="00057E6F" w:rsidRPr="006552E9">
        <w:t>f</w:t>
      </w:r>
      <w:r w:rsidRPr="006552E9">
        <w:t xml:space="preserve"> $3 million from unanticipated Lottery Grants Board income towards the Auckland Theatre Company’s </w:t>
      </w:r>
      <w:r w:rsidR="000E2F59" w:rsidRPr="006552E9">
        <w:t xml:space="preserve">(ATC) </w:t>
      </w:r>
      <w:r w:rsidRPr="006552E9">
        <w:t xml:space="preserve">Waterfront </w:t>
      </w:r>
      <w:r w:rsidR="009A4197">
        <w:t xml:space="preserve">Theatre </w:t>
      </w:r>
      <w:r w:rsidRPr="006552E9">
        <w:t>project.</w:t>
      </w:r>
      <w:r w:rsidRPr="006552E9">
        <w:rPr>
          <w:rStyle w:val="FootnoteReference"/>
        </w:rPr>
        <w:footnoteReference w:id="3"/>
      </w:r>
      <w:r w:rsidR="00175E6D" w:rsidRPr="006552E9">
        <w:t xml:space="preserve"> </w:t>
      </w:r>
      <w:r w:rsidR="00DC19BD" w:rsidRPr="006552E9">
        <w:t xml:space="preserve">In </w:t>
      </w:r>
      <w:r w:rsidR="00B81BBF" w:rsidRPr="006552E9">
        <w:t>support</w:t>
      </w:r>
      <w:r w:rsidR="00DC19BD" w:rsidRPr="006552E9">
        <w:t>ing this project we have partnered with other key funders</w:t>
      </w:r>
      <w:r w:rsidR="000E2F59" w:rsidRPr="006552E9">
        <w:t xml:space="preserve"> –</w:t>
      </w:r>
      <w:r w:rsidR="00DC19BD" w:rsidRPr="006552E9">
        <w:t xml:space="preserve"> the Auckland Council and the ASB Community Trust </w:t>
      </w:r>
      <w:r w:rsidR="000E2F59" w:rsidRPr="006552E9">
        <w:t xml:space="preserve">– </w:t>
      </w:r>
      <w:r w:rsidR="00DC19BD" w:rsidRPr="006552E9">
        <w:t xml:space="preserve">to fill a gap in performing arts venues in Auckland and to provide a new permanent home for the </w:t>
      </w:r>
      <w:r w:rsidR="000E2F59" w:rsidRPr="006552E9">
        <w:t>ATC</w:t>
      </w:r>
      <w:r w:rsidR="00DC19BD" w:rsidRPr="006552E9">
        <w:t xml:space="preserve">. </w:t>
      </w:r>
      <w:r w:rsidR="00DF4954" w:rsidRPr="006552E9">
        <w:t>The funding was to be spread evenly over the 2012/13 and 2013/14 financial years.</w:t>
      </w:r>
      <w:r w:rsidR="00175E6D" w:rsidRPr="006552E9">
        <w:t xml:space="preserve"> </w:t>
      </w:r>
      <w:r w:rsidR="00DF4954" w:rsidRPr="006552E9">
        <w:t>However</w:t>
      </w:r>
      <w:r w:rsidR="000E2F59" w:rsidRPr="006552E9">
        <w:t>,</w:t>
      </w:r>
      <w:r w:rsidR="00DF4954" w:rsidRPr="006552E9">
        <w:t xml:space="preserve"> the 2012/13 payment has been delayed while the ATC further develops its plans.</w:t>
      </w:r>
      <w:r w:rsidR="00175E6D" w:rsidRPr="006552E9">
        <w:t xml:space="preserve"> </w:t>
      </w:r>
    </w:p>
    <w:p w:rsidR="00932B4B" w:rsidRPr="006552E9" w:rsidRDefault="00932B4B" w:rsidP="00932B4B">
      <w:pPr>
        <w:pStyle w:val="Heading4"/>
      </w:pPr>
      <w:r w:rsidRPr="006552E9">
        <w:t>Creative Giving pilot</w:t>
      </w:r>
    </w:p>
    <w:p w:rsidR="00932B4B" w:rsidRPr="006552E9" w:rsidRDefault="00932B4B" w:rsidP="00932B4B">
      <w:pPr>
        <w:rPr>
          <w:color w:val="1F497D"/>
        </w:rPr>
      </w:pPr>
      <w:r w:rsidRPr="006552E9">
        <w:t>This three</w:t>
      </w:r>
      <w:r w:rsidR="00EC09B3" w:rsidRPr="006552E9">
        <w:t>-</w:t>
      </w:r>
      <w:r w:rsidRPr="006552E9">
        <w:t>year</w:t>
      </w:r>
      <w:r w:rsidR="0061200A" w:rsidRPr="006552E9">
        <w:t xml:space="preserve"> pilot programme to build capability in fundraising within the </w:t>
      </w:r>
      <w:r w:rsidR="004D178D" w:rsidRPr="006552E9">
        <w:t>arts, culture and heritage sector</w:t>
      </w:r>
      <w:r w:rsidR="00F314B3" w:rsidRPr="006552E9">
        <w:t xml:space="preserve"> completed its first full year of operation</w:t>
      </w:r>
      <w:r w:rsidRPr="006552E9">
        <w:t xml:space="preserve"> in 2012/13</w:t>
      </w:r>
      <w:r w:rsidR="00F314B3" w:rsidRPr="006552E9">
        <w:t>.</w:t>
      </w:r>
      <w:r w:rsidR="00175E6D" w:rsidRPr="006552E9">
        <w:t xml:space="preserve"> </w:t>
      </w:r>
      <w:r w:rsidR="00F314B3" w:rsidRPr="006552E9">
        <w:t xml:space="preserve">During </w:t>
      </w:r>
      <w:r w:rsidRPr="006552E9">
        <w:t>the year,</w:t>
      </w:r>
      <w:r w:rsidR="00F314B3" w:rsidRPr="006552E9">
        <w:t xml:space="preserve"> </w:t>
      </w:r>
      <w:r w:rsidRPr="006552E9">
        <w:t>workshops and master classes were run on a variety of fundraising topics, attended by over 100 people.</w:t>
      </w:r>
      <w:r w:rsidR="00175E6D" w:rsidRPr="006552E9">
        <w:t xml:space="preserve"> </w:t>
      </w:r>
      <w:r w:rsidRPr="006552E9">
        <w:t xml:space="preserve">Post workshop feedback </w:t>
      </w:r>
      <w:r w:rsidR="00DC19BD" w:rsidRPr="006552E9">
        <w:t xml:space="preserve">showed </w:t>
      </w:r>
      <w:r w:rsidRPr="006552E9">
        <w:t>all attendees found the workshops and master classes useful and will be able to apply the learning to their work.</w:t>
      </w:r>
    </w:p>
    <w:p w:rsidR="00932B4B" w:rsidRPr="006552E9" w:rsidRDefault="00DC19BD" w:rsidP="00932B4B">
      <w:r w:rsidRPr="006552E9">
        <w:t xml:space="preserve">A targeted </w:t>
      </w:r>
      <w:r w:rsidR="00932B4B" w:rsidRPr="006552E9">
        <w:t xml:space="preserve">mentoring programme involved </w:t>
      </w:r>
      <w:r w:rsidR="009A4197">
        <w:t>10</w:t>
      </w:r>
      <w:r w:rsidR="00932B4B" w:rsidRPr="006552E9">
        <w:t xml:space="preserve"> arts, culture and heritage organisations being mentored on a regular, formal basis throughout the year.</w:t>
      </w:r>
    </w:p>
    <w:p w:rsidR="008B2DC9" w:rsidRPr="006552E9" w:rsidRDefault="00C259A7" w:rsidP="00EE448D">
      <w:r w:rsidRPr="006552E9">
        <w:t xml:space="preserve">In addition, $223,000 was awarded in 24 grants to match </w:t>
      </w:r>
      <w:r w:rsidR="0027635D" w:rsidRPr="006552E9">
        <w:t xml:space="preserve">new </w:t>
      </w:r>
      <w:r w:rsidRPr="006552E9">
        <w:t>funding</w:t>
      </w:r>
      <w:r w:rsidR="004D178D" w:rsidRPr="006552E9">
        <w:t xml:space="preserve"> </w:t>
      </w:r>
      <w:r w:rsidRPr="006552E9">
        <w:t>obtained by organisations from private donations.</w:t>
      </w:r>
    </w:p>
    <w:p w:rsidR="00932B4B" w:rsidRPr="006552E9" w:rsidRDefault="00932B4B" w:rsidP="00932B4B">
      <w:pPr>
        <w:pStyle w:val="Heading4"/>
      </w:pPr>
      <w:r w:rsidRPr="006552E9">
        <w:t>Government-to-government initiatives</w:t>
      </w:r>
    </w:p>
    <w:p w:rsidR="003C611F" w:rsidRPr="006552E9" w:rsidRDefault="00351C8B" w:rsidP="00EE448D">
      <w:r w:rsidRPr="006552E9">
        <w:t xml:space="preserve">During 2012/13, Creative New Zealand </w:t>
      </w:r>
      <w:r w:rsidR="0009386E" w:rsidRPr="006552E9">
        <w:t>fund</w:t>
      </w:r>
      <w:r w:rsidRPr="006552E9">
        <w:t>ed three government-to</w:t>
      </w:r>
      <w:r w:rsidR="0009386E" w:rsidRPr="006552E9">
        <w:t>-</w:t>
      </w:r>
      <w:r w:rsidRPr="006552E9">
        <w:t xml:space="preserve">government initiatives – the </w:t>
      </w:r>
      <w:r w:rsidR="003C611F" w:rsidRPr="006552E9">
        <w:t xml:space="preserve">2012 Festival of Pacific Arts, </w:t>
      </w:r>
      <w:r w:rsidR="0027635D" w:rsidRPr="006552E9">
        <w:t xml:space="preserve">New Zealand’s presence as the </w:t>
      </w:r>
      <w:r w:rsidR="003C611F" w:rsidRPr="006552E9">
        <w:t>2012 Guest Country of Honour at the Frankfurt Book</w:t>
      </w:r>
      <w:r w:rsidR="009A4197">
        <w:t xml:space="preserve"> </w:t>
      </w:r>
      <w:r w:rsidR="009A4197" w:rsidRPr="006552E9">
        <w:t xml:space="preserve">Fair </w:t>
      </w:r>
      <w:r w:rsidR="003C611F" w:rsidRPr="006552E9">
        <w:t xml:space="preserve">and </w:t>
      </w:r>
      <w:r w:rsidR="0027635D" w:rsidRPr="006552E9">
        <w:t xml:space="preserve">the </w:t>
      </w:r>
      <w:r w:rsidRPr="006552E9">
        <w:t xml:space="preserve">2013 </w:t>
      </w:r>
      <w:r w:rsidR="00EE448D" w:rsidRPr="006552E9">
        <w:t>Venice</w:t>
      </w:r>
      <w:r w:rsidRPr="006552E9">
        <w:t xml:space="preserve"> Biennale</w:t>
      </w:r>
      <w:r w:rsidR="003C611F" w:rsidRPr="006552E9">
        <w:t>.</w:t>
      </w:r>
      <w:r w:rsidR="00175E6D" w:rsidRPr="006552E9">
        <w:t xml:space="preserve"> </w:t>
      </w:r>
      <w:r w:rsidR="003C611F" w:rsidRPr="006552E9">
        <w:t>More information on these initiatives is included under Outcome 4: New Zealand art achieves internationa</w:t>
      </w:r>
      <w:r w:rsidR="00057E6F" w:rsidRPr="006552E9">
        <w:t>l success</w:t>
      </w:r>
      <w:r w:rsidR="0027635D" w:rsidRPr="006552E9">
        <w:t>,</w:t>
      </w:r>
      <w:r w:rsidR="00057E6F" w:rsidRPr="006552E9">
        <w:t xml:space="preserve"> in Part Two of this report.</w:t>
      </w:r>
    </w:p>
    <w:p w:rsidR="00932B4B" w:rsidRPr="006552E9" w:rsidRDefault="00932B4B" w:rsidP="00932B4B">
      <w:pPr>
        <w:pStyle w:val="Heading4"/>
      </w:pPr>
      <w:r w:rsidRPr="006552E9">
        <w:t>Sistema Aotearoa</w:t>
      </w:r>
    </w:p>
    <w:p w:rsidR="00EE448D" w:rsidRPr="006552E9" w:rsidRDefault="0009386E" w:rsidP="00EE448D">
      <w:r w:rsidRPr="006552E9">
        <w:t xml:space="preserve">Funding </w:t>
      </w:r>
      <w:r w:rsidR="00176752" w:rsidRPr="006552E9">
        <w:t>of</w:t>
      </w:r>
      <w:r w:rsidRPr="006552E9">
        <w:t xml:space="preserve"> $400,000 for </w:t>
      </w:r>
      <w:r w:rsidR="00176752" w:rsidRPr="006552E9">
        <w:t xml:space="preserve">each of the </w:t>
      </w:r>
      <w:r w:rsidRPr="006552E9">
        <w:t>2012/13 and 2013/14</w:t>
      </w:r>
      <w:r w:rsidR="00176752" w:rsidRPr="006552E9">
        <w:t xml:space="preserve"> financial years has been agreed to </w:t>
      </w:r>
      <w:r w:rsidR="0027635D" w:rsidRPr="006552E9">
        <w:t xml:space="preserve">support </w:t>
      </w:r>
      <w:r w:rsidR="00176752" w:rsidRPr="006552E9">
        <w:t>the Sistema Aotearoa programme</w:t>
      </w:r>
      <w:r w:rsidR="0027635D" w:rsidRPr="006552E9">
        <w:t xml:space="preserve"> run in schools in South Auckland by the Auckland Philharmonia Orchestra</w:t>
      </w:r>
      <w:r w:rsidRPr="006552E9">
        <w:t>.</w:t>
      </w:r>
      <w:r w:rsidR="00175E6D" w:rsidRPr="006552E9">
        <w:t xml:space="preserve"> </w:t>
      </w:r>
      <w:r w:rsidRPr="006552E9">
        <w:t>For further information</w:t>
      </w:r>
      <w:r w:rsidR="00CB6498" w:rsidRPr="006552E9">
        <w:t xml:space="preserve"> about the programme</w:t>
      </w:r>
      <w:r w:rsidRPr="006552E9">
        <w:t xml:space="preserve">, see Outcome 1: New Zealanders participate in the </w:t>
      </w:r>
      <w:r w:rsidR="00057E6F" w:rsidRPr="006552E9">
        <w:t>arts</w:t>
      </w:r>
      <w:r w:rsidR="0027635D" w:rsidRPr="006552E9">
        <w:t>,</w:t>
      </w:r>
      <w:r w:rsidR="00057E6F" w:rsidRPr="006552E9">
        <w:t xml:space="preserve"> in Part Two of this report.</w:t>
      </w:r>
    </w:p>
    <w:p w:rsidR="00EE448D" w:rsidRPr="006552E9" w:rsidRDefault="00EE448D" w:rsidP="00EE448D">
      <w:pPr>
        <w:pStyle w:val="Heading3"/>
      </w:pPr>
      <w:bookmarkStart w:id="15" w:name="_Toc373414995"/>
      <w:r w:rsidRPr="006552E9">
        <w:t xml:space="preserve">Policy </w:t>
      </w:r>
      <w:r w:rsidR="00BB6897" w:rsidRPr="006552E9">
        <w:t>development</w:t>
      </w:r>
      <w:bookmarkEnd w:id="15"/>
      <w:r w:rsidR="00BB6897" w:rsidRPr="006552E9">
        <w:t xml:space="preserve"> </w:t>
      </w:r>
    </w:p>
    <w:p w:rsidR="009215CC" w:rsidRPr="006552E9" w:rsidRDefault="009215CC" w:rsidP="009215CC">
      <w:pPr>
        <w:pStyle w:val="Heading4"/>
      </w:pPr>
      <w:r w:rsidRPr="006552E9">
        <w:t>Māori arts review</w:t>
      </w:r>
    </w:p>
    <w:p w:rsidR="009215CC" w:rsidRPr="006552E9" w:rsidRDefault="009215CC" w:rsidP="009215CC">
      <w:r w:rsidRPr="006552E9">
        <w:t xml:space="preserve">In November 2012, the Arts Council </w:t>
      </w:r>
      <w:r w:rsidR="00DF4954" w:rsidRPr="006552E9">
        <w:t xml:space="preserve">agreed to revisions to Creative New Zealand’s Māori Arts policy following the results of a </w:t>
      </w:r>
      <w:r w:rsidRPr="006552E9">
        <w:t xml:space="preserve">final report on Creative New Zealand’s support for Māori arts. The report was the most comprehensive review of our support for Māori arts undertaken in the last </w:t>
      </w:r>
      <w:r w:rsidR="009A4197">
        <w:t>10</w:t>
      </w:r>
      <w:r w:rsidRPr="006552E9">
        <w:t xml:space="preserve"> years, with more than 100 people providing feedback during the consultation process.</w:t>
      </w:r>
    </w:p>
    <w:p w:rsidR="009215CC" w:rsidRPr="006552E9" w:rsidRDefault="009215CC" w:rsidP="009215CC">
      <w:r w:rsidRPr="006552E9">
        <w:t xml:space="preserve">The report noted that the wairua of </w:t>
      </w:r>
      <w:r w:rsidR="008D1B84" w:rsidRPr="006552E9">
        <w:t xml:space="preserve">ngā </w:t>
      </w:r>
      <w:r w:rsidR="00B81BBF" w:rsidRPr="006552E9">
        <w:t xml:space="preserve">toi </w:t>
      </w:r>
      <w:r w:rsidRPr="006552E9">
        <w:t>Māori</w:t>
      </w:r>
      <w:r w:rsidR="008D1B84" w:rsidRPr="006552E9">
        <w:rPr>
          <w:rStyle w:val="FootnoteReference"/>
        </w:rPr>
        <w:footnoteReference w:id="4"/>
      </w:r>
      <w:r w:rsidRPr="006552E9">
        <w:t xml:space="preserve"> is strong and the future is bright. It also identified a number of areas where </w:t>
      </w:r>
      <w:r w:rsidR="00340F16" w:rsidRPr="006552E9">
        <w:t>we</w:t>
      </w:r>
      <w:r w:rsidRPr="006552E9">
        <w:t xml:space="preserve"> can improve </w:t>
      </w:r>
      <w:r w:rsidR="00340F16" w:rsidRPr="006552E9">
        <w:t>our</w:t>
      </w:r>
      <w:r w:rsidRPr="006552E9">
        <w:t xml:space="preserve"> </w:t>
      </w:r>
      <w:r w:rsidR="00DF4954" w:rsidRPr="006552E9">
        <w:t xml:space="preserve">policy for </w:t>
      </w:r>
      <w:r w:rsidR="0027635D" w:rsidRPr="006552E9">
        <w:t>support</w:t>
      </w:r>
      <w:r w:rsidR="00DF4954" w:rsidRPr="006552E9">
        <w:t>ing</w:t>
      </w:r>
      <w:r w:rsidR="0027635D" w:rsidRPr="006552E9">
        <w:t xml:space="preserve"> M</w:t>
      </w:r>
      <w:r w:rsidR="00DF4954" w:rsidRPr="006552E9">
        <w:t>ā</w:t>
      </w:r>
      <w:r w:rsidR="0027635D" w:rsidRPr="006552E9">
        <w:t>ori arts</w:t>
      </w:r>
      <w:r w:rsidRPr="006552E9">
        <w:t>. Among the changes agreed were:</w:t>
      </w:r>
    </w:p>
    <w:p w:rsidR="009215CC" w:rsidRPr="006552E9" w:rsidRDefault="009215CC" w:rsidP="009215CC">
      <w:pPr>
        <w:pStyle w:val="Bullet"/>
      </w:pPr>
      <w:r w:rsidRPr="006552E9">
        <w:t xml:space="preserve">reserving up to three Quick Response </w:t>
      </w:r>
      <w:r w:rsidR="009A4197" w:rsidRPr="006552E9">
        <w:t xml:space="preserve">Grants </w:t>
      </w:r>
      <w:r w:rsidR="0027635D" w:rsidRPr="006552E9">
        <w:t xml:space="preserve">for ngā </w:t>
      </w:r>
      <w:r w:rsidR="009A4197" w:rsidRPr="006552E9">
        <w:t xml:space="preserve">toi </w:t>
      </w:r>
      <w:r w:rsidR="0027635D" w:rsidRPr="006552E9">
        <w:t xml:space="preserve">Māori </w:t>
      </w:r>
      <w:r w:rsidRPr="006552E9">
        <w:t>in each funding round to support artists to undertake projects at an early stage of their career</w:t>
      </w:r>
    </w:p>
    <w:p w:rsidR="009215CC" w:rsidRPr="006552E9" w:rsidRDefault="009215CC" w:rsidP="009215CC">
      <w:pPr>
        <w:pStyle w:val="Bullet"/>
      </w:pPr>
      <w:r w:rsidRPr="006552E9">
        <w:t xml:space="preserve">offering </w:t>
      </w:r>
      <w:r w:rsidR="008D1B84" w:rsidRPr="006552E9">
        <w:t xml:space="preserve">ngā </w:t>
      </w:r>
      <w:r w:rsidRPr="006552E9">
        <w:t>Toi Māori internships to support up to 15 Māori arts practitioners to develop arts management skills</w:t>
      </w:r>
      <w:r w:rsidR="00540BCE" w:rsidRPr="006552E9">
        <w:t>.</w:t>
      </w:r>
      <w:r w:rsidR="00175E6D" w:rsidRPr="006552E9">
        <w:t xml:space="preserve"> </w:t>
      </w:r>
      <w:r w:rsidR="00540BCE" w:rsidRPr="006552E9">
        <w:t>Three internships will be offered in 2013/14</w:t>
      </w:r>
    </w:p>
    <w:p w:rsidR="009215CC" w:rsidRPr="006552E9" w:rsidRDefault="009215CC" w:rsidP="009215CC">
      <w:pPr>
        <w:pStyle w:val="Bullet"/>
      </w:pPr>
      <w:r w:rsidRPr="006552E9">
        <w:t xml:space="preserve">revising the Tōtara investment programme key roles to be more explicit about the services </w:t>
      </w:r>
      <w:r w:rsidR="00340F16" w:rsidRPr="006552E9">
        <w:t>we expect</w:t>
      </w:r>
      <w:r w:rsidRPr="006552E9">
        <w:t xml:space="preserve"> to be provid</w:t>
      </w:r>
      <w:r w:rsidR="00340F16" w:rsidRPr="006552E9">
        <w:t>ed for the Māori arts sector</w:t>
      </w:r>
    </w:p>
    <w:p w:rsidR="009215CC" w:rsidRPr="006552E9" w:rsidRDefault="001B598F" w:rsidP="009215CC">
      <w:pPr>
        <w:pStyle w:val="Bullet"/>
      </w:pPr>
      <w:r w:rsidRPr="006552E9">
        <w:t>implementing</w:t>
      </w:r>
      <w:r w:rsidR="009215CC" w:rsidRPr="006552E9">
        <w:t xml:space="preserve"> simplif</w:t>
      </w:r>
      <w:r w:rsidRPr="006552E9">
        <w:t>ied</w:t>
      </w:r>
      <w:r w:rsidR="009215CC" w:rsidRPr="006552E9">
        <w:t xml:space="preserve"> Quick </w:t>
      </w:r>
      <w:r w:rsidR="009A4197">
        <w:t>Response Grant</w:t>
      </w:r>
      <w:r w:rsidR="00B92908">
        <w:t xml:space="preserve"> </w:t>
      </w:r>
      <w:r w:rsidR="009215CC" w:rsidRPr="006552E9">
        <w:t>application requirements</w:t>
      </w:r>
    </w:p>
    <w:p w:rsidR="009215CC" w:rsidRPr="006552E9" w:rsidRDefault="009215CC" w:rsidP="009215CC">
      <w:pPr>
        <w:pStyle w:val="Bullet"/>
      </w:pPr>
      <w:r w:rsidRPr="006552E9">
        <w:t>developing a set of Creative New Zealand iwi engagement targets and identifying the resources required to achieve those targets in the period to 2017.</w:t>
      </w:r>
    </w:p>
    <w:p w:rsidR="009215CC" w:rsidRPr="006552E9" w:rsidRDefault="009215CC" w:rsidP="009215CC">
      <w:r w:rsidRPr="006552E9">
        <w:t>The roll out of these initiatives and programme adjustments began in February 2013.</w:t>
      </w:r>
    </w:p>
    <w:p w:rsidR="009215CC" w:rsidRPr="006552E9" w:rsidRDefault="009215CC" w:rsidP="009215CC">
      <w:pPr>
        <w:pStyle w:val="Heading4"/>
      </w:pPr>
      <w:r w:rsidRPr="006552E9">
        <w:t xml:space="preserve">Pacific </w:t>
      </w:r>
      <w:r w:rsidR="00340F16" w:rsidRPr="006552E9">
        <w:t xml:space="preserve">arts </w:t>
      </w:r>
      <w:r w:rsidRPr="006552E9">
        <w:t>review</w:t>
      </w:r>
    </w:p>
    <w:p w:rsidR="009215CC" w:rsidRPr="006552E9" w:rsidRDefault="009215CC" w:rsidP="009215CC">
      <w:r w:rsidRPr="006552E9">
        <w:t>Between December 2012 and February 2013 Creative New Zealand invited Pacific artists, art groups and organisations with an interest in Pacific arts to contribute to the Pacific arts review.</w:t>
      </w:r>
      <w:r w:rsidR="00175E6D" w:rsidRPr="006552E9">
        <w:t xml:space="preserve"> </w:t>
      </w:r>
    </w:p>
    <w:p w:rsidR="009215CC" w:rsidRPr="006552E9" w:rsidRDefault="009215CC" w:rsidP="009215CC">
      <w:r w:rsidRPr="006552E9">
        <w:t>Research undertaken as part of the review noted that Pacific arts practice in New Zealand today covers a wide range of contemporary and heritage art forms.</w:t>
      </w:r>
      <w:r w:rsidR="00175E6D" w:rsidRPr="006552E9">
        <w:t xml:space="preserve"> </w:t>
      </w:r>
      <w:r w:rsidRPr="006552E9">
        <w:t xml:space="preserve">It was also noted that the growth and success of Pacific arts over the last </w:t>
      </w:r>
      <w:r w:rsidR="009A4197">
        <w:t>20</w:t>
      </w:r>
      <w:r w:rsidRPr="006552E9">
        <w:t xml:space="preserve"> years has often been achieved with limited resources. </w:t>
      </w:r>
    </w:p>
    <w:p w:rsidR="009215CC" w:rsidRPr="006552E9" w:rsidRDefault="009215CC" w:rsidP="009215CC">
      <w:pPr>
        <w:keepNext/>
        <w:rPr>
          <w:rFonts w:ascii="Book Antiqua" w:hAnsi="Book Antiqua" w:cs="Book Antiqua"/>
          <w:b/>
          <w:bCs/>
        </w:rPr>
      </w:pPr>
      <w:r w:rsidRPr="006552E9">
        <w:t>The success of Pacific arts and the engagement of Pacific audiences are vitally important for the success of New Zealand arts generally.</w:t>
      </w:r>
      <w:r w:rsidR="00175E6D" w:rsidRPr="006552E9">
        <w:t xml:space="preserve"> </w:t>
      </w:r>
    </w:p>
    <w:p w:rsidR="00BB6897" w:rsidRPr="006552E9" w:rsidRDefault="00BB6897" w:rsidP="00BB6897">
      <w:pPr>
        <w:rPr>
          <w:color w:val="000000"/>
        </w:rPr>
      </w:pPr>
      <w:r w:rsidRPr="006552E9">
        <w:rPr>
          <w:color w:val="000000"/>
        </w:rPr>
        <w:t>The final report from the review was published in September 2013.</w:t>
      </w:r>
      <w:r w:rsidR="00175E6D" w:rsidRPr="006552E9">
        <w:rPr>
          <w:color w:val="000000"/>
        </w:rPr>
        <w:t xml:space="preserve"> </w:t>
      </w:r>
      <w:r w:rsidR="0027635D" w:rsidRPr="006552E9">
        <w:rPr>
          <w:color w:val="000000"/>
        </w:rPr>
        <w:t xml:space="preserve">It </w:t>
      </w:r>
      <w:r w:rsidRPr="006552E9">
        <w:rPr>
          <w:color w:val="000000"/>
        </w:rPr>
        <w:t>identified five areas where Creative New Zealand can make a measurable difference to sustaining the health and vitality of Pacific arts over the next five years: </w:t>
      </w:r>
    </w:p>
    <w:p w:rsidR="00BB6897" w:rsidRPr="006552E9" w:rsidRDefault="00BB6897" w:rsidP="00BB6897">
      <w:pPr>
        <w:pStyle w:val="Bullet"/>
      </w:pPr>
      <w:r w:rsidRPr="006552E9">
        <w:t>increas</w:t>
      </w:r>
      <w:r w:rsidR="009A4197">
        <w:t>ing</w:t>
      </w:r>
      <w:r w:rsidRPr="006552E9">
        <w:t xml:space="preserve"> support for Pacific heritage arts and artists</w:t>
      </w:r>
    </w:p>
    <w:p w:rsidR="00BB6897" w:rsidRPr="006552E9" w:rsidRDefault="00BB6897" w:rsidP="00BB6897">
      <w:pPr>
        <w:pStyle w:val="Bullet"/>
      </w:pPr>
      <w:r w:rsidRPr="006552E9">
        <w:t xml:space="preserve">improving our </w:t>
      </w:r>
      <w:r w:rsidR="0027635D" w:rsidRPr="006552E9">
        <w:t xml:space="preserve">understanding </w:t>
      </w:r>
      <w:r w:rsidR="00727E61" w:rsidRPr="006552E9">
        <w:t xml:space="preserve">of </w:t>
      </w:r>
      <w:r w:rsidRPr="006552E9">
        <w:t>Pacific arts and communication</w:t>
      </w:r>
      <w:r w:rsidR="0027635D" w:rsidRPr="006552E9">
        <w:t xml:space="preserve"> with the sector</w:t>
      </w:r>
    </w:p>
    <w:p w:rsidR="00BB6897" w:rsidRPr="006552E9" w:rsidRDefault="00BB6897" w:rsidP="00BB6897">
      <w:pPr>
        <w:pStyle w:val="Bullet"/>
      </w:pPr>
      <w:r w:rsidRPr="006552E9">
        <w:rPr>
          <w:rFonts w:cs="Arial"/>
        </w:rPr>
        <w:t xml:space="preserve">improving </w:t>
      </w:r>
      <w:r w:rsidRPr="006552E9">
        <w:t>the Creative Communities Scheme’s delivery to Pacific arts</w:t>
      </w:r>
    </w:p>
    <w:p w:rsidR="00BB6897" w:rsidRPr="006552E9" w:rsidRDefault="00BB6897" w:rsidP="00BB6897">
      <w:pPr>
        <w:pStyle w:val="Bullet"/>
      </w:pPr>
      <w:r w:rsidRPr="006552E9">
        <w:t>building and developing the infrastructure for Pacific arts</w:t>
      </w:r>
    </w:p>
    <w:p w:rsidR="00BB6897" w:rsidRPr="006552E9" w:rsidRDefault="00BB6897" w:rsidP="00BB6897">
      <w:pPr>
        <w:pStyle w:val="Bullet"/>
      </w:pPr>
      <w:r w:rsidRPr="006552E9">
        <w:t>strengthening inter-agency co-operation to promote and support Pacific arts</w:t>
      </w:r>
      <w:r w:rsidR="00CB612E" w:rsidRPr="006552E9">
        <w:t>.</w:t>
      </w:r>
    </w:p>
    <w:p w:rsidR="00BB6897" w:rsidRPr="006552E9" w:rsidRDefault="00BB6897" w:rsidP="00BB6897">
      <w:pPr>
        <w:rPr>
          <w:color w:val="000000"/>
        </w:rPr>
      </w:pPr>
      <w:r w:rsidRPr="006552E9">
        <w:rPr>
          <w:color w:val="000000"/>
        </w:rPr>
        <w:t>Changes to our funding programmes and initiatives arising from the Pacific arts review will be implemented from January 2014.</w:t>
      </w:r>
    </w:p>
    <w:p w:rsidR="009215CC" w:rsidRPr="006552E9" w:rsidRDefault="009215CC" w:rsidP="00BB6897">
      <w:pPr>
        <w:pStyle w:val="Heading4"/>
      </w:pPr>
      <w:r w:rsidRPr="006552E9">
        <w:t xml:space="preserve">Orchestra and </w:t>
      </w:r>
      <w:r w:rsidR="00340F16" w:rsidRPr="006552E9">
        <w:t>music reviews</w:t>
      </w:r>
    </w:p>
    <w:p w:rsidR="00574917" w:rsidRPr="006552E9" w:rsidRDefault="009215CC" w:rsidP="009215CC">
      <w:r w:rsidRPr="006552E9">
        <w:t xml:space="preserve">Creative New Zealand contributed to the Ministry for Culture and Heritage’s </w:t>
      </w:r>
      <w:r w:rsidR="00574917" w:rsidRPr="006552E9">
        <w:t>review of the professional orchestra sector</w:t>
      </w:r>
      <w:r w:rsidR="0016706E">
        <w:t>,</w:t>
      </w:r>
      <w:r w:rsidRPr="006552E9">
        <w:t xml:space="preserve"> which was released in February 2013.</w:t>
      </w:r>
      <w:r w:rsidR="00175E6D" w:rsidRPr="006552E9">
        <w:t xml:space="preserve"> </w:t>
      </w:r>
      <w:r w:rsidRPr="006552E9">
        <w:t xml:space="preserve">The review </w:t>
      </w:r>
      <w:r w:rsidR="00C60982" w:rsidRPr="006552E9">
        <w:t>affirmed there is a role for central and local government to support orchestras.</w:t>
      </w:r>
      <w:r w:rsidR="00175E6D" w:rsidRPr="006552E9">
        <w:t xml:space="preserve"> </w:t>
      </w:r>
      <w:r w:rsidR="00C60982" w:rsidRPr="006552E9">
        <w:t>A much higher level of collaboration and co-ordination between the orchestras will be expected.</w:t>
      </w:r>
      <w:r w:rsidR="00175E6D" w:rsidRPr="006552E9">
        <w:t xml:space="preserve"> </w:t>
      </w:r>
    </w:p>
    <w:p w:rsidR="009215CC" w:rsidRPr="006552E9" w:rsidRDefault="00574917" w:rsidP="009215CC">
      <w:r w:rsidRPr="006552E9">
        <w:t xml:space="preserve">A </w:t>
      </w:r>
      <w:r w:rsidR="009215CC" w:rsidRPr="006552E9">
        <w:t xml:space="preserve">joint Ministry and Creative New Zealand policy and monitoring framework for the support of professional orchestras is </w:t>
      </w:r>
      <w:r w:rsidR="0027635D" w:rsidRPr="006552E9">
        <w:t xml:space="preserve">being </w:t>
      </w:r>
      <w:r w:rsidR="009215CC" w:rsidRPr="006552E9">
        <w:t xml:space="preserve">developed </w:t>
      </w:r>
      <w:r w:rsidR="0027635D" w:rsidRPr="006552E9">
        <w:t>for imp</w:t>
      </w:r>
      <w:r w:rsidR="00727E61" w:rsidRPr="006552E9">
        <w:t>le</w:t>
      </w:r>
      <w:r w:rsidR="0027635D" w:rsidRPr="006552E9">
        <w:t xml:space="preserve">mentation in </w:t>
      </w:r>
      <w:r w:rsidR="009215CC" w:rsidRPr="006552E9">
        <w:t>2015.</w:t>
      </w:r>
      <w:r w:rsidR="00175E6D" w:rsidRPr="006552E9">
        <w:t xml:space="preserve"> </w:t>
      </w:r>
      <w:r w:rsidR="009215CC" w:rsidRPr="006552E9">
        <w:t>The New Zealand Symphony Orchestra will continue to be a Crown entity</w:t>
      </w:r>
      <w:r w:rsidRPr="006552E9">
        <w:t>,</w:t>
      </w:r>
      <w:r w:rsidR="009215CC" w:rsidRPr="006552E9">
        <w:t xml:space="preserve"> funded directly by central government</w:t>
      </w:r>
      <w:r w:rsidR="00BB6897" w:rsidRPr="006552E9">
        <w:t>.</w:t>
      </w:r>
      <w:r w:rsidR="00175E6D" w:rsidRPr="006552E9">
        <w:t xml:space="preserve"> </w:t>
      </w:r>
      <w:r w:rsidR="00BB6897" w:rsidRPr="006552E9">
        <w:t xml:space="preserve">Other </w:t>
      </w:r>
      <w:r w:rsidR="009215CC" w:rsidRPr="006552E9">
        <w:t>orchestras will be assessed and funded through Creative New Zealand’s investment and grant</w:t>
      </w:r>
      <w:r w:rsidR="00F81CFA">
        <w:t>s</w:t>
      </w:r>
      <w:r w:rsidR="009215CC" w:rsidRPr="006552E9">
        <w:t xml:space="preserve"> programmes. </w:t>
      </w:r>
    </w:p>
    <w:p w:rsidR="009215CC" w:rsidRPr="006552E9" w:rsidRDefault="009215CC" w:rsidP="009215CC">
      <w:pPr>
        <w:rPr>
          <w:b/>
          <w:bCs/>
        </w:rPr>
      </w:pPr>
      <w:r w:rsidRPr="006552E9">
        <w:t xml:space="preserve">The review specifies roles and expectations for a national touring orchestra, a metropolitan orchestra, city orchestras and community orchestras. </w:t>
      </w:r>
    </w:p>
    <w:p w:rsidR="009215CC" w:rsidRPr="006552E9" w:rsidRDefault="009215CC" w:rsidP="009215CC">
      <w:r w:rsidRPr="006552E9">
        <w:t xml:space="preserve">Creative New Zealand undertook its consultation and review of its support for music, other than professional orchestras, in April and May 2013. The results </w:t>
      </w:r>
      <w:r w:rsidR="0016706E">
        <w:t>we</w:t>
      </w:r>
      <w:r w:rsidRPr="006552E9">
        <w:t>re due for release in October 2013.</w:t>
      </w:r>
    </w:p>
    <w:p w:rsidR="009215CC" w:rsidRPr="006552E9" w:rsidRDefault="009215CC" w:rsidP="009215CC">
      <w:pPr>
        <w:pStyle w:val="Heading4"/>
      </w:pPr>
      <w:r w:rsidRPr="006552E9">
        <w:t xml:space="preserve">National </w:t>
      </w:r>
      <w:r w:rsidR="00574917" w:rsidRPr="006552E9">
        <w:t>arts conference</w:t>
      </w:r>
    </w:p>
    <w:p w:rsidR="009215CC" w:rsidRPr="006552E9" w:rsidRDefault="00574917" w:rsidP="009215CC">
      <w:r w:rsidRPr="006552E9">
        <w:t>In June 2013, we organised the</w:t>
      </w:r>
      <w:r w:rsidR="009215CC" w:rsidRPr="006552E9">
        <w:t xml:space="preserve"> sixth national two</w:t>
      </w:r>
      <w:r w:rsidRPr="006552E9">
        <w:t>-</w:t>
      </w:r>
      <w:r w:rsidR="009215CC" w:rsidRPr="006552E9">
        <w:t>day arts conference on the theme</w:t>
      </w:r>
      <w:r w:rsidR="009215CC" w:rsidRPr="006552E9">
        <w:rPr>
          <w:i/>
        </w:rPr>
        <w:t xml:space="preserve"> Arts By, With and For Young People</w:t>
      </w:r>
      <w:r w:rsidR="009215CC" w:rsidRPr="006552E9">
        <w:t>.</w:t>
      </w:r>
      <w:r w:rsidR="00175E6D" w:rsidRPr="006552E9">
        <w:t xml:space="preserve"> </w:t>
      </w:r>
      <w:r w:rsidR="009215CC" w:rsidRPr="006552E9">
        <w:t>It focused on:</w:t>
      </w:r>
    </w:p>
    <w:p w:rsidR="009215CC" w:rsidRPr="006552E9" w:rsidRDefault="009215CC" w:rsidP="009215CC">
      <w:pPr>
        <w:pStyle w:val="Bullet"/>
      </w:pPr>
      <w:r w:rsidRPr="006552E9">
        <w:t>good practice and o</w:t>
      </w:r>
      <w:r w:rsidR="0016706E">
        <w:t>pportunities for providing high-</w:t>
      </w:r>
      <w:r w:rsidRPr="006552E9">
        <w:t>quality arts by, with and for young people</w:t>
      </w:r>
    </w:p>
    <w:p w:rsidR="009215CC" w:rsidRPr="006552E9" w:rsidRDefault="009215CC" w:rsidP="009215CC">
      <w:pPr>
        <w:pStyle w:val="Bullet"/>
      </w:pPr>
      <w:r w:rsidRPr="006552E9">
        <w:t>increased youth participation in the arts</w:t>
      </w:r>
    </w:p>
    <w:p w:rsidR="009215CC" w:rsidRPr="006552E9" w:rsidRDefault="009215CC" w:rsidP="009215CC">
      <w:pPr>
        <w:pStyle w:val="Bullet"/>
      </w:pPr>
      <w:r w:rsidRPr="006552E9">
        <w:t>development of young audiences for the arts</w:t>
      </w:r>
    </w:p>
    <w:p w:rsidR="009215CC" w:rsidRPr="006552E9" w:rsidRDefault="009215CC" w:rsidP="009215CC">
      <w:pPr>
        <w:pStyle w:val="Bullet"/>
      </w:pPr>
      <w:r w:rsidRPr="006552E9">
        <w:t>promotion of the value of arts education</w:t>
      </w:r>
    </w:p>
    <w:p w:rsidR="009215CC" w:rsidRPr="006552E9" w:rsidRDefault="009215CC" w:rsidP="009215CC">
      <w:pPr>
        <w:pStyle w:val="Bullet"/>
      </w:pPr>
      <w:r w:rsidRPr="006552E9">
        <w:t>promotion of arts activity to enhance social well</w:t>
      </w:r>
      <w:r w:rsidR="0016706E">
        <w:t xml:space="preserve"> </w:t>
      </w:r>
      <w:r w:rsidRPr="006552E9">
        <w:t>being.</w:t>
      </w:r>
    </w:p>
    <w:p w:rsidR="009215CC" w:rsidRPr="006552E9" w:rsidRDefault="009215CC" w:rsidP="009215CC">
      <w:r w:rsidRPr="006552E9">
        <w:t>The conference was developed in collaboration with the Ministr</w:t>
      </w:r>
      <w:r w:rsidR="00C60982" w:rsidRPr="006552E9">
        <w:t>y</w:t>
      </w:r>
      <w:r w:rsidRPr="006552E9">
        <w:t xml:space="preserve"> </w:t>
      </w:r>
      <w:r w:rsidR="00C60982" w:rsidRPr="006552E9">
        <w:t>for</w:t>
      </w:r>
      <w:r w:rsidRPr="006552E9">
        <w:t xml:space="preserve"> Culture and Heritage</w:t>
      </w:r>
      <w:r w:rsidR="00C60982" w:rsidRPr="006552E9">
        <w:t>, Ministry of</w:t>
      </w:r>
      <w:r w:rsidRPr="006552E9">
        <w:t xml:space="preserve"> Education and UNESCO.</w:t>
      </w:r>
    </w:p>
    <w:p w:rsidR="00EE448D" w:rsidRPr="006552E9" w:rsidRDefault="00EE448D" w:rsidP="00EE448D">
      <w:pPr>
        <w:pStyle w:val="Heading3"/>
      </w:pPr>
      <w:bookmarkStart w:id="16" w:name="_Toc373414996"/>
      <w:r w:rsidRPr="006552E9">
        <w:t>Government priorities</w:t>
      </w:r>
      <w:bookmarkEnd w:id="16"/>
    </w:p>
    <w:p w:rsidR="00BF242B" w:rsidRPr="006552E9" w:rsidRDefault="00F1784A" w:rsidP="00EE448D">
      <w:r w:rsidRPr="006552E9">
        <w:t>Creative New Zealand contributed to both overarching and specific government priorities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227"/>
        <w:gridCol w:w="5953"/>
      </w:tblGrid>
      <w:tr w:rsidR="00F1784A" w:rsidRPr="006552E9" w:rsidTr="00C60982">
        <w:trPr>
          <w:cantSplit/>
        </w:trPr>
        <w:tc>
          <w:tcPr>
            <w:tcW w:w="3227" w:type="dxa"/>
          </w:tcPr>
          <w:p w:rsidR="00F1784A" w:rsidRPr="006552E9" w:rsidRDefault="0069087D" w:rsidP="008D1B84">
            <w:pPr>
              <w:pStyle w:val="Tabletext"/>
              <w:keepNext/>
              <w:spacing w:before="240"/>
              <w:rPr>
                <w:b/>
                <w:sz w:val="22"/>
                <w:szCs w:val="22"/>
              </w:rPr>
            </w:pPr>
            <w:r w:rsidRPr="006552E9">
              <w:rPr>
                <w:b/>
                <w:sz w:val="22"/>
                <w:szCs w:val="22"/>
              </w:rPr>
              <w:t>Overarching priorities</w:t>
            </w:r>
          </w:p>
        </w:tc>
        <w:tc>
          <w:tcPr>
            <w:tcW w:w="5953" w:type="dxa"/>
          </w:tcPr>
          <w:p w:rsidR="00F1784A" w:rsidRPr="006552E9" w:rsidRDefault="00F1784A" w:rsidP="008D1B84">
            <w:pPr>
              <w:pStyle w:val="Tabletext"/>
              <w:keepNext/>
              <w:spacing w:before="240"/>
              <w:rPr>
                <w:b/>
                <w:sz w:val="22"/>
                <w:szCs w:val="22"/>
              </w:rPr>
            </w:pPr>
            <w:r w:rsidRPr="006552E9">
              <w:rPr>
                <w:b/>
                <w:sz w:val="22"/>
                <w:szCs w:val="22"/>
              </w:rPr>
              <w:t>Creative New Zealand response</w:t>
            </w:r>
          </w:p>
        </w:tc>
      </w:tr>
      <w:tr w:rsidR="00F1784A" w:rsidRPr="006552E9" w:rsidTr="00C60982">
        <w:trPr>
          <w:cantSplit/>
        </w:trPr>
        <w:tc>
          <w:tcPr>
            <w:tcW w:w="3227" w:type="dxa"/>
          </w:tcPr>
          <w:p w:rsidR="00F1784A" w:rsidRPr="006552E9" w:rsidRDefault="0069087D" w:rsidP="00F1784A">
            <w:pPr>
              <w:pStyle w:val="Tabletext"/>
              <w:rPr>
                <w:sz w:val="22"/>
                <w:szCs w:val="22"/>
              </w:rPr>
            </w:pPr>
            <w:r w:rsidRPr="006552E9">
              <w:rPr>
                <w:sz w:val="22"/>
                <w:szCs w:val="22"/>
              </w:rPr>
              <w:t>Responsibly managing the government’s finances</w:t>
            </w:r>
          </w:p>
        </w:tc>
        <w:tc>
          <w:tcPr>
            <w:tcW w:w="5953" w:type="dxa"/>
          </w:tcPr>
          <w:p w:rsidR="006552E9" w:rsidRPr="006552E9" w:rsidRDefault="006552E9" w:rsidP="00B81BBF">
            <w:pPr>
              <w:pStyle w:val="Tabletext"/>
              <w:rPr>
                <w:sz w:val="22"/>
                <w:szCs w:val="22"/>
              </w:rPr>
            </w:pPr>
            <w:r w:rsidRPr="006552E9">
              <w:rPr>
                <w:sz w:val="22"/>
                <w:szCs w:val="22"/>
              </w:rPr>
              <w:t xml:space="preserve">Audit New Zealand </w:t>
            </w:r>
            <w:r w:rsidR="00481AE4">
              <w:rPr>
                <w:sz w:val="22"/>
                <w:szCs w:val="22"/>
              </w:rPr>
              <w:t xml:space="preserve">has </w:t>
            </w:r>
            <w:r w:rsidRPr="006552E9">
              <w:rPr>
                <w:sz w:val="22"/>
                <w:szCs w:val="22"/>
              </w:rPr>
              <w:t xml:space="preserve">issued an unqualified opinion on </w:t>
            </w:r>
            <w:r w:rsidR="00481AE4">
              <w:rPr>
                <w:sz w:val="22"/>
                <w:szCs w:val="22"/>
              </w:rPr>
              <w:t>this</w:t>
            </w:r>
            <w:r w:rsidRPr="006552E9">
              <w:rPr>
                <w:sz w:val="22"/>
                <w:szCs w:val="22"/>
              </w:rPr>
              <w:t xml:space="preserve"> Annual Report.</w:t>
            </w:r>
          </w:p>
          <w:p w:rsidR="00F1784A" w:rsidRPr="006552E9" w:rsidRDefault="00481AE4" w:rsidP="00481AE4">
            <w:pPr>
              <w:pStyle w:val="Tabletext"/>
              <w:spacing w:before="120"/>
              <w:rPr>
                <w:sz w:val="22"/>
                <w:szCs w:val="22"/>
              </w:rPr>
            </w:pPr>
            <w:r>
              <w:rPr>
                <w:sz w:val="22"/>
                <w:szCs w:val="22"/>
              </w:rPr>
              <w:t xml:space="preserve">We have also maintained our </w:t>
            </w:r>
            <w:r w:rsidR="00646E63" w:rsidRPr="006552E9">
              <w:rPr>
                <w:sz w:val="22"/>
                <w:szCs w:val="22"/>
              </w:rPr>
              <w:t>rating</w:t>
            </w:r>
            <w:r>
              <w:rPr>
                <w:sz w:val="22"/>
                <w:szCs w:val="22"/>
              </w:rPr>
              <w:t>s</w:t>
            </w:r>
            <w:r w:rsidR="00646E63" w:rsidRPr="006552E9">
              <w:rPr>
                <w:sz w:val="22"/>
                <w:szCs w:val="22"/>
              </w:rPr>
              <w:t xml:space="preserve"> of ‘Very Good’ for both our financial management control environment and financial information systems and controls</w:t>
            </w:r>
            <w:r w:rsidR="00C60982" w:rsidRPr="006552E9">
              <w:rPr>
                <w:sz w:val="22"/>
                <w:szCs w:val="22"/>
              </w:rPr>
              <w:t xml:space="preserve"> </w:t>
            </w:r>
            <w:r>
              <w:rPr>
                <w:sz w:val="22"/>
                <w:szCs w:val="22"/>
              </w:rPr>
              <w:t>since</w:t>
            </w:r>
            <w:r w:rsidR="00C60982" w:rsidRPr="006552E9">
              <w:rPr>
                <w:sz w:val="22"/>
                <w:szCs w:val="22"/>
              </w:rPr>
              <w:t xml:space="preserve"> 2011/12</w:t>
            </w:r>
            <w:r w:rsidR="00646E63" w:rsidRPr="006552E9">
              <w:rPr>
                <w:sz w:val="22"/>
                <w:szCs w:val="22"/>
              </w:rPr>
              <w:t>.</w:t>
            </w:r>
            <w:r w:rsidR="00175E6D" w:rsidRPr="006552E9">
              <w:rPr>
                <w:sz w:val="22"/>
                <w:szCs w:val="22"/>
              </w:rPr>
              <w:t xml:space="preserve"> </w:t>
            </w:r>
            <w:r w:rsidR="00646E63" w:rsidRPr="006552E9">
              <w:rPr>
                <w:sz w:val="22"/>
                <w:szCs w:val="22"/>
              </w:rPr>
              <w:t>A rating of ‘Very Good’ means that no improvements are necessary.</w:t>
            </w:r>
          </w:p>
        </w:tc>
      </w:tr>
      <w:tr w:rsidR="00F1784A" w:rsidRPr="006552E9" w:rsidTr="00C60982">
        <w:trPr>
          <w:cantSplit/>
        </w:trPr>
        <w:tc>
          <w:tcPr>
            <w:tcW w:w="3227" w:type="dxa"/>
          </w:tcPr>
          <w:p w:rsidR="00F1784A" w:rsidRPr="006552E9" w:rsidRDefault="0069087D" w:rsidP="00F1784A">
            <w:pPr>
              <w:pStyle w:val="Tabletext"/>
              <w:rPr>
                <w:sz w:val="22"/>
                <w:szCs w:val="22"/>
              </w:rPr>
            </w:pPr>
            <w:r w:rsidRPr="006552E9">
              <w:rPr>
                <w:sz w:val="22"/>
                <w:szCs w:val="22"/>
              </w:rPr>
              <w:t>Developing better public services within tight financial constraints</w:t>
            </w:r>
          </w:p>
        </w:tc>
        <w:tc>
          <w:tcPr>
            <w:tcW w:w="5953" w:type="dxa"/>
          </w:tcPr>
          <w:p w:rsidR="00F1784A" w:rsidRPr="006552E9" w:rsidRDefault="0007659A" w:rsidP="0007659A">
            <w:pPr>
              <w:pStyle w:val="Tabletext"/>
              <w:rPr>
                <w:sz w:val="22"/>
                <w:szCs w:val="22"/>
              </w:rPr>
            </w:pPr>
            <w:r w:rsidRPr="006552E9">
              <w:rPr>
                <w:sz w:val="22"/>
                <w:szCs w:val="22"/>
              </w:rPr>
              <w:t xml:space="preserve">See </w:t>
            </w:r>
            <w:r w:rsidR="0016706E">
              <w:rPr>
                <w:sz w:val="22"/>
                <w:szCs w:val="22"/>
              </w:rPr>
              <w:t xml:space="preserve">the </w:t>
            </w:r>
            <w:r w:rsidRPr="006552E9">
              <w:rPr>
                <w:sz w:val="22"/>
                <w:szCs w:val="22"/>
              </w:rPr>
              <w:t>s</w:t>
            </w:r>
            <w:r w:rsidR="002F0470" w:rsidRPr="006552E9">
              <w:rPr>
                <w:sz w:val="22"/>
                <w:szCs w:val="22"/>
              </w:rPr>
              <w:t>ection on ‘Grants management system’ below</w:t>
            </w:r>
          </w:p>
        </w:tc>
      </w:tr>
      <w:tr w:rsidR="00F1784A" w:rsidRPr="006552E9" w:rsidTr="00C60982">
        <w:trPr>
          <w:cantSplit/>
        </w:trPr>
        <w:tc>
          <w:tcPr>
            <w:tcW w:w="3227" w:type="dxa"/>
          </w:tcPr>
          <w:p w:rsidR="00F1784A" w:rsidRPr="006552E9" w:rsidRDefault="0069087D" w:rsidP="00F1784A">
            <w:pPr>
              <w:pStyle w:val="Tabletext"/>
              <w:rPr>
                <w:sz w:val="22"/>
                <w:szCs w:val="22"/>
              </w:rPr>
            </w:pPr>
            <w:r w:rsidRPr="006552E9">
              <w:rPr>
                <w:sz w:val="22"/>
                <w:szCs w:val="22"/>
              </w:rPr>
              <w:t>Rebuilding Christchurch</w:t>
            </w:r>
          </w:p>
        </w:tc>
        <w:tc>
          <w:tcPr>
            <w:tcW w:w="5953" w:type="dxa"/>
          </w:tcPr>
          <w:p w:rsidR="00C60982" w:rsidRPr="006552E9" w:rsidRDefault="00C51663" w:rsidP="00C60982">
            <w:pPr>
              <w:pStyle w:val="Tabletext"/>
              <w:rPr>
                <w:sz w:val="22"/>
                <w:szCs w:val="22"/>
              </w:rPr>
            </w:pPr>
            <w:r w:rsidRPr="006552E9">
              <w:rPr>
                <w:sz w:val="22"/>
                <w:szCs w:val="22"/>
              </w:rPr>
              <w:t xml:space="preserve">During 2012/13 we refocused our </w:t>
            </w:r>
            <w:r w:rsidR="0016706E" w:rsidRPr="006552E9">
              <w:rPr>
                <w:sz w:val="22"/>
                <w:szCs w:val="22"/>
              </w:rPr>
              <w:t xml:space="preserve">earthquake </w:t>
            </w:r>
            <w:r w:rsidRPr="006552E9">
              <w:rPr>
                <w:sz w:val="22"/>
                <w:szCs w:val="22"/>
              </w:rPr>
              <w:t xml:space="preserve">support from providing emergency grants to funding to </w:t>
            </w:r>
            <w:r w:rsidR="0016706E">
              <w:rPr>
                <w:sz w:val="22"/>
                <w:szCs w:val="22"/>
              </w:rPr>
              <w:t>help</w:t>
            </w:r>
            <w:r w:rsidRPr="006552E9">
              <w:rPr>
                <w:sz w:val="22"/>
                <w:szCs w:val="22"/>
              </w:rPr>
              <w:t xml:space="preserve"> the recovery of the arts.</w:t>
            </w:r>
            <w:r w:rsidR="00175E6D" w:rsidRPr="006552E9">
              <w:rPr>
                <w:sz w:val="22"/>
                <w:szCs w:val="22"/>
              </w:rPr>
              <w:t xml:space="preserve"> </w:t>
            </w:r>
            <w:r w:rsidRPr="006552E9">
              <w:rPr>
                <w:sz w:val="22"/>
                <w:szCs w:val="22"/>
              </w:rPr>
              <w:t>A total of 17 grants, worth $395,000</w:t>
            </w:r>
            <w:r w:rsidR="0016706E">
              <w:rPr>
                <w:sz w:val="22"/>
                <w:szCs w:val="22"/>
              </w:rPr>
              <w:t>,</w:t>
            </w:r>
            <w:r w:rsidRPr="006552E9">
              <w:rPr>
                <w:sz w:val="22"/>
                <w:szCs w:val="22"/>
              </w:rPr>
              <w:t xml:space="preserve"> were awarded.</w:t>
            </w:r>
          </w:p>
          <w:p w:rsidR="00EB6276" w:rsidRPr="006552E9" w:rsidRDefault="00C51663" w:rsidP="00C60982">
            <w:pPr>
              <w:pStyle w:val="Tabletext"/>
              <w:spacing w:before="120"/>
              <w:rPr>
                <w:sz w:val="22"/>
                <w:szCs w:val="22"/>
              </w:rPr>
            </w:pPr>
            <w:r w:rsidRPr="006552E9">
              <w:rPr>
                <w:sz w:val="22"/>
                <w:szCs w:val="22"/>
              </w:rPr>
              <w:t>In addition, we worked closely with the Ministry for Culture and Heritage, Canterbury Earthquake Recovery Authority</w:t>
            </w:r>
            <w:r w:rsidR="00AD2240">
              <w:rPr>
                <w:sz w:val="22"/>
                <w:szCs w:val="22"/>
              </w:rPr>
              <w:t xml:space="preserve"> (CERA)</w:t>
            </w:r>
            <w:r w:rsidRPr="006552E9">
              <w:rPr>
                <w:sz w:val="22"/>
                <w:szCs w:val="22"/>
              </w:rPr>
              <w:t xml:space="preserve">, Christchurch City Council and local arts organisations to </w:t>
            </w:r>
            <w:r w:rsidR="002B06C7" w:rsidRPr="006552E9">
              <w:rPr>
                <w:sz w:val="22"/>
                <w:szCs w:val="22"/>
              </w:rPr>
              <w:t xml:space="preserve">support the arts in Christchurch and to </w:t>
            </w:r>
            <w:r w:rsidRPr="006552E9">
              <w:rPr>
                <w:sz w:val="22"/>
                <w:szCs w:val="22"/>
              </w:rPr>
              <w:t>keep the arts at the centre of the rebuild.</w:t>
            </w:r>
          </w:p>
        </w:tc>
      </w:tr>
      <w:tr w:rsidR="00EC09B3" w:rsidRPr="006552E9" w:rsidTr="00C60982">
        <w:trPr>
          <w:cantSplit/>
        </w:trPr>
        <w:tc>
          <w:tcPr>
            <w:tcW w:w="3227" w:type="dxa"/>
          </w:tcPr>
          <w:p w:rsidR="00EC09B3" w:rsidRPr="006552E9" w:rsidRDefault="00EC09B3" w:rsidP="00EC09B3">
            <w:pPr>
              <w:pStyle w:val="Tabletext"/>
              <w:rPr>
                <w:sz w:val="22"/>
                <w:szCs w:val="22"/>
              </w:rPr>
            </w:pPr>
            <w:r w:rsidRPr="006552E9">
              <w:rPr>
                <w:b/>
                <w:sz w:val="22"/>
                <w:szCs w:val="22"/>
              </w:rPr>
              <w:t>Specific priorities for us</w:t>
            </w:r>
          </w:p>
        </w:tc>
        <w:tc>
          <w:tcPr>
            <w:tcW w:w="5953" w:type="dxa"/>
          </w:tcPr>
          <w:p w:rsidR="00EC09B3" w:rsidRPr="006552E9" w:rsidRDefault="00EC09B3" w:rsidP="00EC09B3">
            <w:pPr>
              <w:pStyle w:val="Tabletext"/>
              <w:rPr>
                <w:b/>
                <w:sz w:val="22"/>
                <w:szCs w:val="22"/>
              </w:rPr>
            </w:pPr>
            <w:r w:rsidRPr="006552E9">
              <w:rPr>
                <w:b/>
                <w:sz w:val="22"/>
                <w:szCs w:val="22"/>
              </w:rPr>
              <w:t>Creative New Zealand response</w:t>
            </w:r>
          </w:p>
        </w:tc>
      </w:tr>
      <w:tr w:rsidR="00EC09B3" w:rsidRPr="006552E9" w:rsidTr="00C60982">
        <w:trPr>
          <w:cantSplit/>
        </w:trPr>
        <w:tc>
          <w:tcPr>
            <w:tcW w:w="3227" w:type="dxa"/>
          </w:tcPr>
          <w:p w:rsidR="00EC09B3" w:rsidRPr="006552E9" w:rsidRDefault="00EC09B3" w:rsidP="00F1784A">
            <w:pPr>
              <w:pStyle w:val="Tabletext"/>
              <w:rPr>
                <w:sz w:val="22"/>
                <w:szCs w:val="22"/>
              </w:rPr>
            </w:pPr>
            <w:r w:rsidRPr="006552E9">
              <w:rPr>
                <w:sz w:val="22"/>
                <w:szCs w:val="22"/>
              </w:rPr>
              <w:t>Deliver a Strategic Plan for 2013–16</w:t>
            </w:r>
          </w:p>
        </w:tc>
        <w:tc>
          <w:tcPr>
            <w:tcW w:w="5953" w:type="dxa"/>
          </w:tcPr>
          <w:p w:rsidR="00EC09B3" w:rsidRPr="006552E9" w:rsidRDefault="00EC09B3" w:rsidP="009E3591">
            <w:pPr>
              <w:pStyle w:val="Tabletext"/>
              <w:rPr>
                <w:sz w:val="22"/>
                <w:szCs w:val="22"/>
              </w:rPr>
            </w:pPr>
            <w:r w:rsidRPr="006552E9">
              <w:rPr>
                <w:sz w:val="22"/>
                <w:szCs w:val="22"/>
              </w:rPr>
              <w:t>See section on ‘Strategic Plan direction’ below.</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Professional orchestra review</w:t>
            </w:r>
          </w:p>
        </w:tc>
        <w:tc>
          <w:tcPr>
            <w:tcW w:w="5953" w:type="dxa"/>
          </w:tcPr>
          <w:p w:rsidR="00EC09B3" w:rsidRPr="006552E9" w:rsidRDefault="00EC09B3" w:rsidP="0016706E">
            <w:pPr>
              <w:pStyle w:val="Tabletext"/>
              <w:rPr>
                <w:sz w:val="22"/>
                <w:szCs w:val="22"/>
              </w:rPr>
            </w:pPr>
            <w:r w:rsidRPr="006552E9">
              <w:rPr>
                <w:sz w:val="22"/>
                <w:szCs w:val="22"/>
              </w:rPr>
              <w:t xml:space="preserve">See section on the review under ‘Policy </w:t>
            </w:r>
            <w:r w:rsidR="0016706E">
              <w:rPr>
                <w:sz w:val="22"/>
                <w:szCs w:val="22"/>
              </w:rPr>
              <w:t>development</w:t>
            </w:r>
            <w:r w:rsidRPr="006552E9">
              <w:rPr>
                <w:sz w:val="22"/>
                <w:szCs w:val="22"/>
              </w:rPr>
              <w:t>’ above.</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Philanthropy programme</w:t>
            </w:r>
          </w:p>
        </w:tc>
        <w:tc>
          <w:tcPr>
            <w:tcW w:w="5953" w:type="dxa"/>
          </w:tcPr>
          <w:p w:rsidR="00EC09B3" w:rsidRPr="006552E9" w:rsidRDefault="00EC09B3" w:rsidP="00F1784A">
            <w:pPr>
              <w:pStyle w:val="Tabletext"/>
              <w:rPr>
                <w:sz w:val="22"/>
                <w:szCs w:val="22"/>
              </w:rPr>
            </w:pPr>
            <w:r w:rsidRPr="006552E9">
              <w:rPr>
                <w:sz w:val="22"/>
                <w:szCs w:val="22"/>
              </w:rPr>
              <w:t>See section on Creative Giving pilot under ‘Initiatives’ above</w:t>
            </w:r>
            <w:r w:rsidR="0016706E">
              <w:rPr>
                <w:sz w:val="22"/>
                <w:szCs w:val="22"/>
              </w:rPr>
              <w:t>.</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Explore options for funding important capital projects in the arts</w:t>
            </w:r>
          </w:p>
        </w:tc>
        <w:tc>
          <w:tcPr>
            <w:tcW w:w="5953" w:type="dxa"/>
          </w:tcPr>
          <w:p w:rsidR="00EC09B3" w:rsidRPr="006552E9" w:rsidRDefault="00EC09B3" w:rsidP="002D1A00">
            <w:pPr>
              <w:pStyle w:val="Tabletext"/>
              <w:rPr>
                <w:sz w:val="22"/>
                <w:szCs w:val="22"/>
              </w:rPr>
            </w:pPr>
            <w:r w:rsidRPr="006552E9">
              <w:rPr>
                <w:sz w:val="22"/>
                <w:szCs w:val="22"/>
              </w:rPr>
              <w:t xml:space="preserve">We have worked with the Ministry </w:t>
            </w:r>
            <w:r w:rsidR="002D1A00" w:rsidRPr="006552E9">
              <w:rPr>
                <w:sz w:val="22"/>
                <w:szCs w:val="22"/>
              </w:rPr>
              <w:t xml:space="preserve">for </w:t>
            </w:r>
            <w:r w:rsidRPr="006552E9">
              <w:rPr>
                <w:sz w:val="22"/>
                <w:szCs w:val="22"/>
              </w:rPr>
              <w:t>Culture and Heritage on this topic.</w:t>
            </w:r>
            <w:r w:rsidR="00175E6D" w:rsidRPr="006552E9">
              <w:rPr>
                <w:sz w:val="22"/>
                <w:szCs w:val="22"/>
              </w:rPr>
              <w:t xml:space="preserve"> </w:t>
            </w:r>
            <w:r w:rsidRPr="006552E9">
              <w:rPr>
                <w:sz w:val="22"/>
                <w:szCs w:val="22"/>
              </w:rPr>
              <w:t xml:space="preserve">In addition, we have agreed to invest $3 million to support the development of the Auckland Theatre Company’s </w:t>
            </w:r>
            <w:r w:rsidR="0016706E" w:rsidRPr="006552E9">
              <w:rPr>
                <w:sz w:val="22"/>
                <w:szCs w:val="22"/>
              </w:rPr>
              <w:t xml:space="preserve">Waterfront Theatre </w:t>
            </w:r>
            <w:r w:rsidRPr="006552E9">
              <w:rPr>
                <w:sz w:val="22"/>
                <w:szCs w:val="22"/>
              </w:rPr>
              <w:t>project (see ‘Initiatives’ above).</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Reviewing operating costs</w:t>
            </w:r>
          </w:p>
        </w:tc>
        <w:tc>
          <w:tcPr>
            <w:tcW w:w="5953" w:type="dxa"/>
          </w:tcPr>
          <w:p w:rsidR="00EC09B3" w:rsidRPr="006552E9" w:rsidRDefault="00EC09B3" w:rsidP="00F34EC4">
            <w:pPr>
              <w:pStyle w:val="Tabletext"/>
              <w:rPr>
                <w:sz w:val="22"/>
                <w:szCs w:val="22"/>
              </w:rPr>
            </w:pPr>
            <w:r w:rsidRPr="006552E9">
              <w:rPr>
                <w:sz w:val="22"/>
                <w:szCs w:val="22"/>
              </w:rPr>
              <w:t>During 2012/13, our operating costs, including all personnel costs and overheads, reduced to 1</w:t>
            </w:r>
            <w:r w:rsidR="00F34EC4">
              <w:rPr>
                <w:sz w:val="22"/>
                <w:szCs w:val="22"/>
              </w:rPr>
              <w:t>5.8</w:t>
            </w:r>
            <w:r w:rsidR="0016706E">
              <w:rPr>
                <w:sz w:val="22"/>
                <w:szCs w:val="22"/>
              </w:rPr>
              <w:t xml:space="preserve"> percent</w:t>
            </w:r>
            <w:r w:rsidRPr="006552E9">
              <w:rPr>
                <w:sz w:val="22"/>
                <w:szCs w:val="22"/>
              </w:rPr>
              <w:t xml:space="preserve"> of total expenditure and were at the lowest dollar value in </w:t>
            </w:r>
            <w:r w:rsidR="00F34EC4">
              <w:rPr>
                <w:sz w:val="22"/>
                <w:szCs w:val="22"/>
              </w:rPr>
              <w:t>six</w:t>
            </w:r>
            <w:r w:rsidRPr="006552E9">
              <w:rPr>
                <w:sz w:val="22"/>
                <w:szCs w:val="22"/>
              </w:rPr>
              <w:t xml:space="preserve"> years.</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Improve collaboration in the support of contemporary popular music</w:t>
            </w:r>
          </w:p>
        </w:tc>
        <w:tc>
          <w:tcPr>
            <w:tcW w:w="5953" w:type="dxa"/>
          </w:tcPr>
          <w:p w:rsidR="00EC09B3" w:rsidRPr="006552E9" w:rsidRDefault="00EC09B3" w:rsidP="00C60982">
            <w:pPr>
              <w:pStyle w:val="Tabletext"/>
              <w:rPr>
                <w:sz w:val="22"/>
                <w:szCs w:val="22"/>
              </w:rPr>
            </w:pPr>
            <w:r w:rsidRPr="006552E9">
              <w:rPr>
                <w:sz w:val="22"/>
                <w:szCs w:val="22"/>
              </w:rPr>
              <w:t>We continued to work with NZ On Air, the New Zealand Music Commission and other music support agencies on this topic</w:t>
            </w:r>
            <w:r w:rsidR="00C60982" w:rsidRPr="006552E9">
              <w:rPr>
                <w:sz w:val="22"/>
                <w:szCs w:val="22"/>
              </w:rPr>
              <w:t>.</w:t>
            </w:r>
            <w:r w:rsidRPr="006552E9">
              <w:rPr>
                <w:sz w:val="22"/>
                <w:szCs w:val="22"/>
              </w:rPr>
              <w:t xml:space="preserve"> </w:t>
            </w:r>
          </w:p>
        </w:tc>
      </w:tr>
      <w:tr w:rsidR="00EC09B3" w:rsidRPr="006552E9" w:rsidTr="00C60982">
        <w:trPr>
          <w:cantSplit/>
        </w:trPr>
        <w:tc>
          <w:tcPr>
            <w:tcW w:w="3227" w:type="dxa"/>
          </w:tcPr>
          <w:p w:rsidR="00EC09B3" w:rsidRPr="006552E9" w:rsidRDefault="00EC09B3" w:rsidP="00646E63">
            <w:pPr>
              <w:pStyle w:val="Tabletext"/>
              <w:rPr>
                <w:sz w:val="22"/>
                <w:szCs w:val="22"/>
              </w:rPr>
            </w:pPr>
            <w:r w:rsidRPr="006552E9">
              <w:rPr>
                <w:sz w:val="22"/>
                <w:szCs w:val="22"/>
              </w:rPr>
              <w:t>Support special projects such as 2012 Frankfurt Book Fair and Sistema Aotearoa</w:t>
            </w:r>
          </w:p>
        </w:tc>
        <w:tc>
          <w:tcPr>
            <w:tcW w:w="5953" w:type="dxa"/>
          </w:tcPr>
          <w:p w:rsidR="00EC09B3" w:rsidRPr="006552E9" w:rsidRDefault="00EC09B3" w:rsidP="00F1784A">
            <w:pPr>
              <w:pStyle w:val="Tabletext"/>
              <w:rPr>
                <w:sz w:val="22"/>
                <w:szCs w:val="22"/>
              </w:rPr>
            </w:pPr>
            <w:r w:rsidRPr="006552E9">
              <w:rPr>
                <w:sz w:val="22"/>
                <w:szCs w:val="22"/>
              </w:rPr>
              <w:t>For further information on the 2012 Frankfurt Book Fair, see Outcome 4: New Zealand arts achieve international success in Part Two of this report.</w:t>
            </w:r>
          </w:p>
          <w:p w:rsidR="00EC09B3" w:rsidRPr="006552E9" w:rsidRDefault="00EC09B3" w:rsidP="00C60982">
            <w:pPr>
              <w:pStyle w:val="Tabletext"/>
              <w:spacing w:before="120"/>
              <w:rPr>
                <w:sz w:val="22"/>
                <w:szCs w:val="22"/>
              </w:rPr>
            </w:pPr>
            <w:r w:rsidRPr="006552E9">
              <w:rPr>
                <w:sz w:val="22"/>
                <w:szCs w:val="22"/>
              </w:rPr>
              <w:t>For information on Sistema Aotearoa, see Outcome 1: New Zealanders participate in the arts, in Part Two.</w:t>
            </w:r>
          </w:p>
        </w:tc>
      </w:tr>
    </w:tbl>
    <w:p w:rsidR="0032161A" w:rsidRPr="006552E9" w:rsidRDefault="0032161A">
      <w:pPr>
        <w:spacing w:before="0"/>
        <w:jc w:val="left"/>
        <w:rPr>
          <w:b/>
          <w:bCs/>
          <w:iCs/>
          <w:color w:val="365F91"/>
          <w:sz w:val="32"/>
          <w:szCs w:val="28"/>
        </w:rPr>
      </w:pPr>
      <w:r w:rsidRPr="006552E9">
        <w:br w:type="page"/>
      </w:r>
    </w:p>
    <w:p w:rsidR="00563366" w:rsidRPr="006552E9" w:rsidRDefault="00640093" w:rsidP="003C5E8D">
      <w:pPr>
        <w:pStyle w:val="Heading2"/>
      </w:pPr>
      <w:bookmarkStart w:id="17" w:name="_Toc373414997"/>
      <w:r w:rsidRPr="006552E9">
        <w:t>Health of the arts sector</w:t>
      </w:r>
      <w:bookmarkEnd w:id="17"/>
    </w:p>
    <w:p w:rsidR="003F56F6" w:rsidRPr="006552E9" w:rsidRDefault="006715B6" w:rsidP="00427BBC">
      <w:r w:rsidRPr="006552E9">
        <w:t xml:space="preserve">Results from our investment programmes show </w:t>
      </w:r>
      <w:r w:rsidR="005233E2" w:rsidRPr="006552E9">
        <w:t>that the arts sector in New Zealand is fundamentally healthy.</w:t>
      </w:r>
      <w:r w:rsidR="00175E6D" w:rsidRPr="006552E9">
        <w:t xml:space="preserve"> </w:t>
      </w:r>
      <w:r w:rsidR="005233E2" w:rsidRPr="006552E9">
        <w:t xml:space="preserve">Although </w:t>
      </w:r>
      <w:r w:rsidRPr="006552E9">
        <w:t xml:space="preserve">the sector </w:t>
      </w:r>
      <w:r w:rsidR="005233E2" w:rsidRPr="006552E9">
        <w:t xml:space="preserve">requires ongoing public funding to thrive, </w:t>
      </w:r>
      <w:r w:rsidR="00427BBC" w:rsidRPr="006552E9">
        <w:t xml:space="preserve">especially in times of stress – such as </w:t>
      </w:r>
      <w:r w:rsidRPr="006552E9">
        <w:t>the effects of the economic downturn and the Canterbury earthquakes</w:t>
      </w:r>
      <w:r w:rsidR="00427BBC" w:rsidRPr="006552E9">
        <w:t xml:space="preserve"> – it is able to recover.</w:t>
      </w:r>
      <w:r w:rsidR="00175E6D" w:rsidRPr="006552E9">
        <w:t xml:space="preserve"> </w:t>
      </w:r>
      <w:r w:rsidR="00427BBC" w:rsidRPr="006552E9">
        <w:t xml:space="preserve">Figure 1 shows </w:t>
      </w:r>
      <w:r w:rsidR="0016706E">
        <w:t xml:space="preserve">how </w:t>
      </w:r>
      <w:r w:rsidR="00427BBC" w:rsidRPr="006552E9">
        <w:t xml:space="preserve">the pattern of </w:t>
      </w:r>
      <w:r w:rsidRPr="006552E9">
        <w:t xml:space="preserve">reduced audience numbers </w:t>
      </w:r>
      <w:r w:rsidR="00427BBC" w:rsidRPr="006552E9">
        <w:t>in 2010 and 2011 reversed in 2012, with audience numbers increasing beyond the 2009 benchmark.</w:t>
      </w:r>
    </w:p>
    <w:p w:rsidR="00427BBC" w:rsidRPr="006552E9" w:rsidRDefault="005D6E4A" w:rsidP="00427BBC">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ine graph showing CNZ subsidy/head - 2009, below $20, rising to over $30 in 2011 then falling back to just under $25 in 2012.&#10;&#10;Also showing total uadience numbers falling from just under 800,000 in 2009 to 550,000 in 2011, then recovering to about 850,000 in 2012." style="width:294.25pt;height:202.25pt">
            <v:imagedata r:id="rId17" o:title=""/>
          </v:shape>
        </w:pict>
      </w:r>
    </w:p>
    <w:p w:rsidR="000B0A77" w:rsidRPr="006552E9" w:rsidRDefault="00427BBC" w:rsidP="00427BBC">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1</w:t>
      </w:r>
      <w:r w:rsidR="006E1B57" w:rsidRPr="006552E9">
        <w:fldChar w:fldCharType="end"/>
      </w:r>
      <w:r w:rsidRPr="006552E9">
        <w:t xml:space="preserve">: Investment clients, </w:t>
      </w:r>
      <w:r w:rsidR="00362D71" w:rsidRPr="006552E9">
        <w:t xml:space="preserve">Creative New Zealand </w:t>
      </w:r>
      <w:r w:rsidRPr="006552E9">
        <w:t xml:space="preserve">subsidy/head and total </w:t>
      </w:r>
      <w:r w:rsidR="00FE1379" w:rsidRPr="006552E9">
        <w:t xml:space="preserve">paid </w:t>
      </w:r>
      <w:r w:rsidRPr="006552E9">
        <w:t>audience numbers, 2009 to 2012 (calendar years)</w:t>
      </w:r>
    </w:p>
    <w:p w:rsidR="00EE2B25" w:rsidRPr="006552E9" w:rsidRDefault="00CF646D" w:rsidP="00EE2B25">
      <w:r w:rsidRPr="006552E9">
        <w:t xml:space="preserve">In particular, audience </w:t>
      </w:r>
      <w:r w:rsidR="00EE2B25" w:rsidRPr="006552E9">
        <w:t xml:space="preserve">figures for </w:t>
      </w:r>
      <w:r w:rsidRPr="006552E9">
        <w:t xml:space="preserve">the </w:t>
      </w:r>
      <w:r w:rsidR="00EE2B25" w:rsidRPr="006552E9">
        <w:t>investment programmes indicate that Canterbury arts audience numbers are returning to pre-earthquake levels, despite there being fewer events for people to attend</w:t>
      </w:r>
      <w:r w:rsidR="009A1D3F">
        <w:t xml:space="preserve"> (see Figure 2)</w:t>
      </w:r>
      <w:r w:rsidR="00EE2B25" w:rsidRPr="006552E9">
        <w:t>.</w:t>
      </w:r>
    </w:p>
    <w:p w:rsidR="008D1B84" w:rsidRPr="006552E9" w:rsidRDefault="005D6E4A" w:rsidP="008D1B84">
      <w:pPr>
        <w:keepNext/>
      </w:pPr>
      <w:r>
        <w:pict>
          <v:shape id="_x0000_i1027" type="#_x0000_t75" alt="Bar graph showing Canterbury paid audience numbers for investment clients - 2009 just under 140,000, falling to low of 50,000 in 2011, then recovering to about 130,000 in 2012." style="width:298pt;height:230.4pt">
            <v:imagedata r:id="rId18" o:title=""/>
          </v:shape>
        </w:pict>
      </w:r>
    </w:p>
    <w:p w:rsidR="006510C6" w:rsidRPr="006552E9" w:rsidRDefault="008D1B84" w:rsidP="008D1B84">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w:t>
      </w:r>
      <w:r w:rsidR="006E1B57" w:rsidRPr="006552E9">
        <w:fldChar w:fldCharType="end"/>
      </w:r>
      <w:r w:rsidRPr="006552E9">
        <w:t xml:space="preserve">: Canterbury </w:t>
      </w:r>
      <w:r w:rsidR="00FE1379" w:rsidRPr="006552E9">
        <w:t xml:space="preserve">paid </w:t>
      </w:r>
      <w:r w:rsidRPr="006552E9">
        <w:t>audience</w:t>
      </w:r>
      <w:r w:rsidR="009A1D3F">
        <w:t xml:space="preserve"> number</w:t>
      </w:r>
      <w:r w:rsidRPr="006552E9">
        <w:t>s, investment clients, 2009 to 2012 (calendar years)</w:t>
      </w:r>
    </w:p>
    <w:p w:rsidR="0032161A" w:rsidRPr="006552E9" w:rsidRDefault="005233E2" w:rsidP="0032161A">
      <w:r w:rsidRPr="006552E9">
        <w:t>All artists, arts practitioners and arts organisations receiving funding from Creative New Zealand have their performance assessed against criteria set in their funding agreements.</w:t>
      </w:r>
      <w:r w:rsidR="00175E6D" w:rsidRPr="006552E9">
        <w:t xml:space="preserve"> </w:t>
      </w:r>
      <w:r w:rsidR="006510C6" w:rsidRPr="006552E9">
        <w:t>Overall, 97</w:t>
      </w:r>
      <w:r w:rsidR="0016706E">
        <w:t xml:space="preserve"> percent</w:t>
      </w:r>
      <w:r w:rsidR="006510C6" w:rsidRPr="006552E9">
        <w:t xml:space="preserve"> of the recipients of Creative New Zealand funding met or exceed</w:t>
      </w:r>
      <w:r w:rsidR="002D1A00" w:rsidRPr="006552E9">
        <w:t>ed</w:t>
      </w:r>
      <w:r w:rsidR="006510C6" w:rsidRPr="006552E9">
        <w:t xml:space="preserve"> the expectations of their funding agreements.</w:t>
      </w:r>
    </w:p>
    <w:p w:rsidR="005233E2" w:rsidRPr="006552E9" w:rsidRDefault="006510C6" w:rsidP="0032161A">
      <w:r w:rsidRPr="006552E9">
        <w:t xml:space="preserve">For investment clients, </w:t>
      </w:r>
      <w:r w:rsidR="00595518" w:rsidRPr="006552E9">
        <w:t>the arts boards receive reports outlining performance in four areas: artistic, financial, organisational and audience.</w:t>
      </w:r>
      <w:r w:rsidR="00175E6D" w:rsidRPr="006552E9">
        <w:t xml:space="preserve"> </w:t>
      </w:r>
      <w:r w:rsidR="00595518" w:rsidRPr="006552E9">
        <w:t xml:space="preserve">Results from these reports show </w:t>
      </w:r>
      <w:r w:rsidRPr="006552E9">
        <w:t xml:space="preserve">the weakest areas of performance are financial expectations and understanding the needs of their audiences (see four left bars of Figure </w:t>
      </w:r>
      <w:r w:rsidR="0071542D" w:rsidRPr="006552E9">
        <w:t>3</w:t>
      </w:r>
      <w:r w:rsidRPr="006552E9">
        <w:t>).</w:t>
      </w:r>
      <w:r w:rsidR="00175E6D" w:rsidRPr="006552E9">
        <w:t xml:space="preserve"> </w:t>
      </w:r>
      <w:r w:rsidRPr="006552E9">
        <w:t xml:space="preserve">Our capability building initiatives are designed to help clients </w:t>
      </w:r>
      <w:r w:rsidR="00926BCE" w:rsidRPr="006552E9">
        <w:t xml:space="preserve">build their skills in fundraising and improve their </w:t>
      </w:r>
      <w:r w:rsidRPr="006552E9">
        <w:t>understand</w:t>
      </w:r>
      <w:r w:rsidR="00926BCE" w:rsidRPr="006552E9">
        <w:t>ing of</w:t>
      </w:r>
      <w:r w:rsidRPr="006552E9">
        <w:t xml:space="preserve"> audiences.</w:t>
      </w:r>
    </w:p>
    <w:p w:rsidR="00BD06FD" w:rsidRPr="006552E9" w:rsidRDefault="005D6E4A" w:rsidP="00BD06FD">
      <w:pPr>
        <w:keepNext/>
      </w:pPr>
      <w:r>
        <w:pict>
          <v:shape id="_x0000_i1028" type="#_x0000_t75" alt="Bar graph showing performance of Investment organisations, grants and special opportunities and international presentation projects against the expectations in their funding agreements and applicaitons.&#10;&#10;93% of investment organisations met or exceeded expectations&#10;98% of grants and special opportunities projects met or exceeded expectations&#10;100% of international presentation projects met or exceeded expectations." style="width:297.4pt;height:200.35pt">
            <v:imagedata r:id="rId19" o:title=""/>
          </v:shape>
        </w:pict>
      </w:r>
    </w:p>
    <w:p w:rsidR="005233E2" w:rsidRPr="006552E9" w:rsidRDefault="00BD06FD" w:rsidP="00BD06FD">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3</w:t>
      </w:r>
      <w:r w:rsidR="006E1B57" w:rsidRPr="006552E9">
        <w:fldChar w:fldCharType="end"/>
      </w:r>
      <w:r w:rsidRPr="006552E9">
        <w:t>: 2012/13 performance against expe</w:t>
      </w:r>
      <w:r w:rsidR="00692C29" w:rsidRPr="006552E9">
        <w:t>ctations</w:t>
      </w:r>
      <w:r w:rsidRPr="006552E9">
        <w:t xml:space="preserve"> </w:t>
      </w:r>
      <w:r w:rsidR="00692C29" w:rsidRPr="006552E9">
        <w:t>(</w:t>
      </w:r>
      <w:r w:rsidRPr="006552E9">
        <w:t>investments, grants and special opportunities, international presentation</w:t>
      </w:r>
      <w:r w:rsidR="00692C29" w:rsidRPr="006552E9">
        <w:t>)</w:t>
      </w:r>
    </w:p>
    <w:p w:rsidR="00640093" w:rsidRPr="006552E9" w:rsidRDefault="00232557" w:rsidP="00640093">
      <w:pPr>
        <w:pStyle w:val="Heading3"/>
      </w:pPr>
      <w:bookmarkStart w:id="18" w:name="_Toc373414998"/>
      <w:r w:rsidRPr="006552E9">
        <w:t>Trends in our funding</w:t>
      </w:r>
      <w:bookmarkEnd w:id="18"/>
    </w:p>
    <w:p w:rsidR="008C046D" w:rsidRPr="006552E9" w:rsidRDefault="003E4CA1" w:rsidP="008C046D">
      <w:r w:rsidRPr="006552E9">
        <w:t xml:space="preserve">Over the last four years, we have increased the support given to the arts sector by </w:t>
      </w:r>
      <w:r w:rsidR="009A1D3F">
        <w:t>around</w:t>
      </w:r>
      <w:r w:rsidRPr="006552E9">
        <w:t xml:space="preserve"> $4 million</w:t>
      </w:r>
      <w:r w:rsidR="002D1A00" w:rsidRPr="006552E9">
        <w:t xml:space="preserve"> per </w:t>
      </w:r>
      <w:r w:rsidR="009A1D3F">
        <w:t>year</w:t>
      </w:r>
      <w:r w:rsidR="009C6829" w:rsidRPr="006552E9">
        <w:t>.</w:t>
      </w:r>
      <w:r w:rsidR="00175E6D" w:rsidRPr="006552E9">
        <w:t xml:space="preserve"> </w:t>
      </w:r>
      <w:r w:rsidR="001232B1" w:rsidRPr="006552E9">
        <w:t xml:space="preserve">During that time the distribution of </w:t>
      </w:r>
      <w:r w:rsidR="002D1A00" w:rsidRPr="006552E9">
        <w:t xml:space="preserve">our </w:t>
      </w:r>
      <w:r w:rsidR="000D5DD7" w:rsidRPr="006552E9">
        <w:t>funding has</w:t>
      </w:r>
      <w:r w:rsidR="001232B1" w:rsidRPr="006552E9">
        <w:t xml:space="preserve"> changed quite substantially as we have chosen to invest more resources targeted to key organisations and arts infrastructure.</w:t>
      </w:r>
    </w:p>
    <w:p w:rsidR="00D94CDC" w:rsidRPr="006552E9" w:rsidRDefault="001232B1" w:rsidP="00562904">
      <w:r w:rsidRPr="006552E9">
        <w:t>Investment in multi-year funding through the Tōtara and Kahikatea programmes has increased from 53</w:t>
      </w:r>
      <w:r w:rsidR="0016706E">
        <w:t xml:space="preserve"> percent</w:t>
      </w:r>
      <w:r w:rsidRPr="006552E9">
        <w:t xml:space="preserve"> to 61</w:t>
      </w:r>
      <w:r w:rsidR="0016706E">
        <w:t xml:space="preserve"> percent</w:t>
      </w:r>
      <w:r w:rsidRPr="006552E9">
        <w:t xml:space="preserve"> of the total, while funding to individual projects through grants and special opportunities has declined from 34</w:t>
      </w:r>
      <w:r w:rsidR="0016706E">
        <w:t xml:space="preserve"> percent</w:t>
      </w:r>
      <w:r w:rsidRPr="006552E9">
        <w:t xml:space="preserve"> to 21</w:t>
      </w:r>
      <w:r w:rsidR="0016706E">
        <w:t xml:space="preserve"> percent</w:t>
      </w:r>
      <w:r w:rsidR="009C6829" w:rsidRPr="006552E9">
        <w:t>.</w:t>
      </w:r>
      <w:r w:rsidR="00175E6D" w:rsidRPr="006552E9">
        <w:t xml:space="preserve"> </w:t>
      </w:r>
      <w:r w:rsidR="00D94CDC" w:rsidRPr="006552E9">
        <w:t xml:space="preserve">The increase in the Kahikatea funding, in particular, reflects </w:t>
      </w:r>
      <w:r w:rsidR="00C9222C" w:rsidRPr="006552E9">
        <w:t xml:space="preserve">the </w:t>
      </w:r>
      <w:r w:rsidR="004B499D" w:rsidRPr="006552E9">
        <w:t>growing maturity of the arts sector in New Zealand</w:t>
      </w:r>
      <w:r w:rsidR="00D94CDC" w:rsidRPr="006552E9">
        <w:t>, with</w:t>
      </w:r>
      <w:r w:rsidR="004B499D" w:rsidRPr="006552E9">
        <w:t xml:space="preserve"> artists seeking support for bigger programmes</w:t>
      </w:r>
      <w:r w:rsidR="00E17ED6" w:rsidRPr="006552E9">
        <w:t xml:space="preserve"> and drawing on</w:t>
      </w:r>
      <w:r w:rsidR="00D94CDC" w:rsidRPr="006552E9">
        <w:t xml:space="preserve"> additional support available through charitable status or collaborations </w:t>
      </w:r>
      <w:r w:rsidR="00E17ED6" w:rsidRPr="006552E9">
        <w:t>to deliver larger projects</w:t>
      </w:r>
      <w:r w:rsidR="00D94CDC" w:rsidRPr="006552E9">
        <w:t xml:space="preserve">. </w:t>
      </w:r>
    </w:p>
    <w:p w:rsidR="004B499D" w:rsidRPr="006552E9" w:rsidRDefault="009A1D3F" w:rsidP="00562904">
      <w:r w:rsidRPr="006552E9">
        <w:t xml:space="preserve">Small </w:t>
      </w:r>
      <w:r w:rsidR="00D94CDC" w:rsidRPr="006552E9">
        <w:t xml:space="preserve">increases </w:t>
      </w:r>
      <w:r>
        <w:t xml:space="preserve">have occurred </w:t>
      </w:r>
      <w:r w:rsidR="00D94CDC" w:rsidRPr="006552E9">
        <w:t>in funding for international presentation and events and the capability building programme while the Creative Communities Scheme and advocacy have remained stable.</w:t>
      </w:r>
      <w:r w:rsidR="00D94CDC" w:rsidRPr="006552E9">
        <w:rPr>
          <w:rStyle w:val="FootnoteReference"/>
        </w:rPr>
        <w:footnoteReference w:id="5"/>
      </w:r>
      <w:r w:rsidR="004B499D" w:rsidRPr="006552E9">
        <w:t xml:space="preserve"> </w:t>
      </w:r>
    </w:p>
    <w:p w:rsidR="004F7178" w:rsidRPr="006552E9" w:rsidRDefault="004F7178" w:rsidP="004F7178">
      <w:r w:rsidRPr="006552E9">
        <w:t>With the exception of the Creative Communities Scheme, where funding is allocated to the territorial authorities on a population basis, Creative New Zealand does not allocate funding on a regional basis through its funding programmes</w:t>
      </w:r>
      <w:r w:rsidR="00C430A8" w:rsidRPr="006552E9">
        <w:t>.</w:t>
      </w:r>
      <w:r w:rsidR="00175E6D" w:rsidRPr="006552E9">
        <w:t xml:space="preserve"> </w:t>
      </w:r>
      <w:r w:rsidR="00C430A8" w:rsidRPr="006552E9">
        <w:t>However</w:t>
      </w:r>
      <w:r w:rsidR="000E5868" w:rsidRPr="006552E9">
        <w:t xml:space="preserve">, </w:t>
      </w:r>
      <w:r w:rsidR="00C430A8" w:rsidRPr="006552E9">
        <w:t xml:space="preserve">we </w:t>
      </w:r>
      <w:r w:rsidR="000E5868" w:rsidRPr="006552E9">
        <w:t xml:space="preserve">do fund projects </w:t>
      </w:r>
      <w:r w:rsidR="00C430A8" w:rsidRPr="006552E9">
        <w:t xml:space="preserve">in the regions </w:t>
      </w:r>
      <w:r w:rsidR="000E5868" w:rsidRPr="006552E9">
        <w:t xml:space="preserve">through </w:t>
      </w:r>
      <w:r w:rsidR="00C430A8" w:rsidRPr="006552E9">
        <w:t>grants funding (</w:t>
      </w:r>
      <w:r w:rsidR="000E5868" w:rsidRPr="006552E9">
        <w:t xml:space="preserve">Arts Grants, Quick Response </w:t>
      </w:r>
      <w:r w:rsidR="009A1D3F" w:rsidRPr="006552E9">
        <w:t>Grants</w:t>
      </w:r>
      <w:r w:rsidR="00C430A8" w:rsidRPr="006552E9">
        <w:t>) and a number of our clients</w:t>
      </w:r>
      <w:r w:rsidRPr="006552E9">
        <w:t xml:space="preserve"> deliver services or activities </w:t>
      </w:r>
      <w:r w:rsidR="00B81BBF" w:rsidRPr="006552E9">
        <w:t xml:space="preserve">regionally or </w:t>
      </w:r>
      <w:r w:rsidR="00C430A8" w:rsidRPr="006552E9">
        <w:t>nationally</w:t>
      </w:r>
      <w:r w:rsidRPr="006552E9">
        <w:t>.</w:t>
      </w:r>
    </w:p>
    <w:p w:rsidR="00692C29" w:rsidRDefault="004F7178" w:rsidP="004F7178">
      <w:r w:rsidRPr="006552E9">
        <w:t xml:space="preserve">Figure </w:t>
      </w:r>
      <w:r w:rsidR="00692C29" w:rsidRPr="006552E9">
        <w:t>4</w:t>
      </w:r>
      <w:r w:rsidRPr="006552E9">
        <w:t xml:space="preserve"> shows how our funding is distributed across the country and overseas. The allocation to regions is based on the location of the art delivery rather than the home location for the artist or arts organisation.</w:t>
      </w:r>
      <w:r w:rsidRPr="006552E9">
        <w:rPr>
          <w:rStyle w:val="FootnoteReference"/>
        </w:rPr>
        <w:footnoteReference w:id="6"/>
      </w:r>
      <w:r w:rsidRPr="006552E9">
        <w:t xml:space="preserve"> </w:t>
      </w:r>
    </w:p>
    <w:p w:rsidR="00E15EC2" w:rsidRPr="006552E9" w:rsidRDefault="00E15EC2" w:rsidP="004F7178">
      <w:r w:rsidRPr="006552E9">
        <w:rPr>
          <w:noProof/>
        </w:rPr>
        <w:drawing>
          <wp:anchor distT="0" distB="0" distL="114300" distR="114300" simplePos="0" relativeHeight="251681792" behindDoc="0" locked="0" layoutInCell="1" allowOverlap="1" wp14:anchorId="09C48CB7" wp14:editId="545710A3">
            <wp:simplePos x="0" y="0"/>
            <wp:positionH relativeFrom="margin">
              <wp:posOffset>55245</wp:posOffset>
            </wp:positionH>
            <wp:positionV relativeFrom="paragraph">
              <wp:posOffset>228600</wp:posOffset>
            </wp:positionV>
            <wp:extent cx="3116580" cy="3444875"/>
            <wp:effectExtent l="0" t="0" r="0" b="0"/>
            <wp:wrapSquare wrapText="bothSides"/>
            <wp:docPr id="902" name="Picture 902" title="Distribution of total funding, by region, shown on New Zea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044" t="5069" b="14757"/>
                    <a:stretch/>
                  </pic:blipFill>
                  <pic:spPr bwMode="auto">
                    <a:xfrm>
                      <a:off x="0" y="0"/>
                      <a:ext cx="3116580" cy="344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3843" w:type="dxa"/>
        <w:tblInd w:w="93" w:type="dxa"/>
        <w:tblCellMar>
          <w:top w:w="28" w:type="dxa"/>
          <w:bottom w:w="28" w:type="dxa"/>
        </w:tblCellMar>
        <w:tblLook w:val="04A0" w:firstRow="1" w:lastRow="0" w:firstColumn="1" w:lastColumn="0" w:noHBand="0" w:noVBand="1"/>
      </w:tblPr>
      <w:tblGrid>
        <w:gridCol w:w="1858"/>
        <w:gridCol w:w="1276"/>
        <w:gridCol w:w="709"/>
      </w:tblGrid>
      <w:tr w:rsidR="00B92908" w:rsidRPr="00B92908" w:rsidTr="00B92908">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b/>
              </w:rPr>
            </w:pPr>
            <w:r w:rsidRPr="00B92908">
              <w:rPr>
                <w:rFonts w:ascii="Arial Narrow" w:hAnsi="Arial Narrow"/>
                <w:b/>
              </w:rPr>
              <w:t>Region</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b/>
              </w:rPr>
            </w:pPr>
            <w:r w:rsidRPr="00B92908">
              <w:rPr>
                <w:rFonts w:ascii="Arial Narrow" w:hAnsi="Arial Narrow"/>
                <w:b/>
              </w:rPr>
              <w:t>Funding</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b/>
              </w:rPr>
            </w:pPr>
            <w:r w:rsidRPr="00B92908">
              <w:rPr>
                <w:rFonts w:ascii="Arial Narrow" w:hAnsi="Arial Narrow"/>
                <w:b/>
              </w:rPr>
              <w:t>%</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Auckland</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$ 11,267,871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832980">
            <w:pPr>
              <w:pStyle w:val="Tabletext"/>
              <w:jc w:val="right"/>
              <w:rPr>
                <w:rFonts w:ascii="Arial Narrow" w:hAnsi="Arial Narrow"/>
              </w:rPr>
            </w:pPr>
            <w:r w:rsidRPr="00B92908">
              <w:rPr>
                <w:rFonts w:ascii="Arial Narrow" w:hAnsi="Arial Narrow"/>
              </w:rPr>
              <w:t>30</w:t>
            </w:r>
            <w:r w:rsidR="00832980">
              <w:rPr>
                <w:rFonts w:ascii="Arial Narrow" w:hAnsi="Arial Narrow"/>
              </w:rPr>
              <w:t>.4</w:t>
            </w:r>
            <w:r w:rsidRPr="00B92908">
              <w:rPr>
                <w:rFonts w:ascii="Arial Narrow" w:hAnsi="Arial Narrow"/>
              </w:rPr>
              <w:t>%</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Bay of Plenty</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$ 296,361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0.8%</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Waikato</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$ 624,782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1.7%</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Gisborne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$ 57,637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0.2%</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Wellington</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$ 5,432,281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14.7%</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Hawke's Bay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$ 271,287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0.7%</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Manawatu-Wanganui</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$ 807,545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2.2%</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Northland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$ 594,526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1.6%</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Taranaki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$ 451,703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1.2%</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Canterbury</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$ 3,503,176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9.5%</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Southland</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$ 287,218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0.8%</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Otago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$ 902,845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2.4%</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 xml:space="preserve">West Coast </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$ 31,600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0.1%</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Nelson-Marlborough</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$ 248,252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0.7%</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Chatham Islands</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$ 5,121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0.0%</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National</w:t>
            </w:r>
          </w:p>
        </w:tc>
        <w:tc>
          <w:tcPr>
            <w:tcW w:w="1276"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$ 8,369,153 </w:t>
            </w:r>
          </w:p>
        </w:tc>
        <w:tc>
          <w:tcPr>
            <w:tcW w:w="709" w:type="dxa"/>
            <w:tcBorders>
              <w:top w:val="nil"/>
              <w:left w:val="nil"/>
              <w:bottom w:val="single" w:sz="8" w:space="0" w:color="auto"/>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22.6%</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Overseas</w:t>
            </w:r>
          </w:p>
        </w:tc>
        <w:tc>
          <w:tcPr>
            <w:tcW w:w="1276" w:type="dxa"/>
            <w:tcBorders>
              <w:top w:val="nil"/>
              <w:left w:val="nil"/>
              <w:bottom w:val="nil"/>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$ 3,839,763 </w:t>
            </w:r>
          </w:p>
        </w:tc>
        <w:tc>
          <w:tcPr>
            <w:tcW w:w="709" w:type="dxa"/>
            <w:tcBorders>
              <w:top w:val="nil"/>
              <w:left w:val="nil"/>
              <w:bottom w:val="nil"/>
              <w:right w:val="single" w:sz="8" w:space="0" w:color="auto"/>
            </w:tcBorders>
            <w:shd w:val="clear" w:color="auto" w:fill="auto"/>
            <w:noWrap/>
            <w:vAlign w:val="bottom"/>
            <w:hideMark/>
          </w:tcPr>
          <w:p w:rsidR="00B92908" w:rsidRPr="00B92908" w:rsidRDefault="00B92908" w:rsidP="00B92908">
            <w:pPr>
              <w:pStyle w:val="Tabletext"/>
              <w:jc w:val="right"/>
              <w:rPr>
                <w:rFonts w:ascii="Arial Narrow" w:hAnsi="Arial Narrow"/>
              </w:rPr>
            </w:pPr>
            <w:r w:rsidRPr="00B92908">
              <w:rPr>
                <w:rFonts w:ascii="Arial Narrow" w:hAnsi="Arial Narrow"/>
              </w:rPr>
              <w:t>10.4%</w:t>
            </w:r>
          </w:p>
        </w:tc>
      </w:tr>
      <w:tr w:rsidR="00B92908" w:rsidRPr="00B92908" w:rsidTr="00B92908">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B92908" w:rsidRPr="00B92908" w:rsidRDefault="00B92908" w:rsidP="00B92908">
            <w:pPr>
              <w:pStyle w:val="Tabletext"/>
              <w:rPr>
                <w:rFonts w:ascii="Arial Narrow" w:hAnsi="Arial Narrow"/>
              </w:rPr>
            </w:pPr>
            <w:r w:rsidRPr="00B92908">
              <w:rPr>
                <w:rFonts w:ascii="Arial Narrow" w:hAnsi="Arial Narrow"/>
              </w:rPr>
              <w:t>Total</w:t>
            </w:r>
          </w:p>
        </w:tc>
        <w:tc>
          <w:tcPr>
            <w:tcW w:w="1276" w:type="dxa"/>
            <w:tcBorders>
              <w:top w:val="single" w:sz="8" w:space="0" w:color="auto"/>
              <w:left w:val="single" w:sz="8" w:space="0" w:color="auto"/>
              <w:bottom w:val="single" w:sz="8" w:space="0" w:color="auto"/>
              <w:right w:val="nil"/>
            </w:tcBorders>
            <w:shd w:val="clear" w:color="auto" w:fill="auto"/>
            <w:noWrap/>
            <w:vAlign w:val="bottom"/>
            <w:hideMark/>
          </w:tcPr>
          <w:p w:rsidR="00B92908" w:rsidRPr="00B92908" w:rsidRDefault="00B92908" w:rsidP="00B92908">
            <w:pPr>
              <w:pStyle w:val="Tabletext"/>
              <w:jc w:val="right"/>
              <w:rPr>
                <w:rFonts w:ascii="Arial Narrow" w:hAnsi="Arial Narrow" w:cs="Arial"/>
              </w:rPr>
            </w:pPr>
            <w:r w:rsidRPr="00B92908">
              <w:rPr>
                <w:rFonts w:ascii="Arial Narrow" w:hAnsi="Arial Narrow" w:cs="Arial"/>
              </w:rPr>
              <w:t xml:space="preserve">$ </w:t>
            </w:r>
            <w:r>
              <w:rPr>
                <w:rFonts w:ascii="Arial Narrow" w:hAnsi="Arial Narrow" w:cs="Arial"/>
              </w:rPr>
              <w:t>36,991,121</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B92908" w:rsidRPr="00B92908" w:rsidRDefault="00B92908" w:rsidP="00832980">
            <w:pPr>
              <w:pStyle w:val="Tabletext"/>
              <w:rPr>
                <w:rFonts w:ascii="Arial Narrow" w:hAnsi="Arial Narrow"/>
              </w:rPr>
            </w:pPr>
            <w:r w:rsidRPr="00B92908">
              <w:rPr>
                <w:rFonts w:ascii="Arial Narrow" w:hAnsi="Arial Narrow"/>
              </w:rPr>
              <w:t> </w:t>
            </w:r>
          </w:p>
        </w:tc>
      </w:tr>
    </w:tbl>
    <w:p w:rsidR="00692C29" w:rsidRPr="006552E9" w:rsidRDefault="00692C29" w:rsidP="00E15EC2">
      <w:pPr>
        <w:pStyle w:val="Caption"/>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4</w:t>
      </w:r>
      <w:r w:rsidR="006E1B57" w:rsidRPr="006552E9">
        <w:fldChar w:fldCharType="end"/>
      </w:r>
      <w:r w:rsidRPr="006552E9">
        <w:t>: Distribution of funding by region, 2012/13</w:t>
      </w:r>
      <w:r w:rsidRPr="006552E9">
        <w:rPr>
          <w:rStyle w:val="FootnoteReference"/>
        </w:rPr>
        <w:footnoteReference w:id="7"/>
      </w:r>
    </w:p>
    <w:p w:rsidR="00692C29" w:rsidRPr="006552E9" w:rsidRDefault="00692C29" w:rsidP="00692C29">
      <w:r w:rsidRPr="006552E9">
        <w:t>We are the only agency to fund across all of the artforms.</w:t>
      </w:r>
      <w:r w:rsidR="003D1652" w:rsidRPr="006552E9">
        <w:rPr>
          <w:rStyle w:val="FootnoteReference"/>
        </w:rPr>
        <w:footnoteReference w:id="8"/>
      </w:r>
      <w:r w:rsidR="00175E6D" w:rsidRPr="006552E9">
        <w:t xml:space="preserve"> </w:t>
      </w:r>
      <w:r w:rsidR="009A1D3F">
        <w:t xml:space="preserve">In </w:t>
      </w:r>
      <w:r w:rsidR="00DE3684">
        <w:t xml:space="preserve">Figure </w:t>
      </w:r>
      <w:r w:rsidR="009A1D3F">
        <w:t xml:space="preserve">5, </w:t>
      </w:r>
      <w:r w:rsidR="009A1D3F" w:rsidRPr="006552E9">
        <w:t xml:space="preserve">the </w:t>
      </w:r>
      <w:r w:rsidRPr="006552E9">
        <w:t>distribution of our funding reflects several factors, including:</w:t>
      </w:r>
    </w:p>
    <w:p w:rsidR="00692C29" w:rsidRPr="006552E9" w:rsidRDefault="00692C29" w:rsidP="00692C29">
      <w:pPr>
        <w:pStyle w:val="Bullet"/>
      </w:pPr>
      <w:r w:rsidRPr="006552E9">
        <w:t xml:space="preserve">the variable costs of delivering different artforms (for example, opera and orchestral music have high fixed costs) </w:t>
      </w:r>
    </w:p>
    <w:p w:rsidR="00692C29" w:rsidRPr="006552E9" w:rsidRDefault="00692C29" w:rsidP="00692C29">
      <w:pPr>
        <w:pStyle w:val="Bullet"/>
      </w:pPr>
      <w:r w:rsidRPr="006552E9">
        <w:t>whether other funders are involved (for example, local authorities play a significant role in funding visual arts infrastructure through the network of regional art galleries).</w:t>
      </w:r>
    </w:p>
    <w:p w:rsidR="00692C29" w:rsidRPr="006552E9" w:rsidRDefault="005D6E4A" w:rsidP="00692C29">
      <w:r>
        <w:pict>
          <v:shape id="_x0000_i1029" type="#_x0000_t75" alt="Pie chart showing the distrubtion of 2012/13 funding by artform&#10;&#10;Craft/Object Art  $1,180,628 &#10;Dance  $3,832,934 &#10;Interarts   $385,061 &#10;Literature  $2,942,970 &#10;Māori Performing Arts  $547,053 &#10;Media Arts  $426,465 &#10;Multidisciplinary  $4,397,412 &#10;Music  $10,603,546 &#10;Oral Arts   $10,398 &#10;Theatre  $8,617,517 &#10;Visual Arts  $4,047,136 &#10;" style="width:294.9pt;height:241.05pt">
            <v:imagedata r:id="rId21" o:title=""/>
          </v:shape>
        </w:pict>
      </w:r>
    </w:p>
    <w:p w:rsidR="0032161A" w:rsidRPr="006552E9" w:rsidRDefault="00692C29" w:rsidP="00926BCE">
      <w:pPr>
        <w:pStyle w:val="Caption"/>
        <w:jc w:val="both"/>
        <w:rPr>
          <w:color w:val="365F91"/>
          <w:sz w:val="32"/>
          <w:szCs w:val="28"/>
        </w:rPr>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5</w:t>
      </w:r>
      <w:r w:rsidR="006E1B57" w:rsidRPr="006552E9">
        <w:fldChar w:fldCharType="end"/>
      </w:r>
      <w:r w:rsidRPr="006552E9">
        <w:t>: Distribution of funding by artform, 2012/13</w:t>
      </w:r>
      <w:r w:rsidR="0032161A" w:rsidRPr="006552E9">
        <w:br w:type="page"/>
      </w:r>
    </w:p>
    <w:p w:rsidR="000D5DD7" w:rsidRPr="006552E9" w:rsidRDefault="00595518" w:rsidP="000D5DD7">
      <w:pPr>
        <w:pStyle w:val="Heading2"/>
      </w:pPr>
      <w:bookmarkStart w:id="19" w:name="_Toc373414999"/>
      <w:r w:rsidRPr="006552E9">
        <w:t xml:space="preserve">Looking </w:t>
      </w:r>
      <w:r w:rsidR="003473D3" w:rsidRPr="006552E9">
        <w:t>forward</w:t>
      </w:r>
      <w:bookmarkEnd w:id="19"/>
    </w:p>
    <w:p w:rsidR="00640093" w:rsidRPr="006552E9" w:rsidRDefault="002D1A00" w:rsidP="00640093">
      <w:r w:rsidRPr="006552E9">
        <w:t>Our w</w:t>
      </w:r>
      <w:r w:rsidR="00314D9B" w:rsidRPr="006552E9">
        <w:t>ork in 2012/13 will have a significant effect on how we operate in the future.</w:t>
      </w:r>
    </w:p>
    <w:p w:rsidR="00640093" w:rsidRPr="006552E9" w:rsidRDefault="00640093" w:rsidP="00640093">
      <w:pPr>
        <w:pStyle w:val="Heading3"/>
      </w:pPr>
      <w:bookmarkStart w:id="20" w:name="_Toc373415000"/>
      <w:r w:rsidRPr="006552E9">
        <w:t>Strategic Plan</w:t>
      </w:r>
      <w:r w:rsidR="006366E1" w:rsidRPr="006552E9">
        <w:t xml:space="preserve"> direction</w:t>
      </w:r>
      <w:bookmarkEnd w:id="20"/>
    </w:p>
    <w:p w:rsidR="00314D9B" w:rsidRPr="006552E9" w:rsidRDefault="00314D9B" w:rsidP="00314D9B">
      <w:r w:rsidRPr="006552E9">
        <w:t>Our 2010–13 Strategic Plan expired on 30 June 2013.</w:t>
      </w:r>
      <w:r w:rsidR="00175E6D" w:rsidRPr="006552E9">
        <w:t xml:space="preserve"> </w:t>
      </w:r>
      <w:r w:rsidRPr="006552E9">
        <w:rPr>
          <w:szCs w:val="22"/>
        </w:rPr>
        <w:t>During 2012 and 2013, we consulted the arts sector (through invit</w:t>
      </w:r>
      <w:r w:rsidR="00B1339A" w:rsidRPr="006552E9">
        <w:rPr>
          <w:szCs w:val="22"/>
        </w:rPr>
        <w:t>ed focus groups), Māori and Pacific</w:t>
      </w:r>
      <w:r w:rsidRPr="006552E9">
        <w:rPr>
          <w:szCs w:val="22"/>
        </w:rPr>
        <w:t xml:space="preserve"> peoples (through our reviews of Māori and Pacific arts) </w:t>
      </w:r>
      <w:r w:rsidR="002D1A00" w:rsidRPr="006552E9">
        <w:rPr>
          <w:szCs w:val="22"/>
        </w:rPr>
        <w:t xml:space="preserve">and other key stakeholders </w:t>
      </w:r>
      <w:r w:rsidRPr="006552E9">
        <w:rPr>
          <w:szCs w:val="22"/>
        </w:rPr>
        <w:t>about how we support the arts in New Zealand.</w:t>
      </w:r>
      <w:r w:rsidR="00175E6D" w:rsidRPr="006552E9">
        <w:rPr>
          <w:szCs w:val="22"/>
        </w:rPr>
        <w:t xml:space="preserve"> </w:t>
      </w:r>
      <w:r w:rsidRPr="006552E9">
        <w:t xml:space="preserve">The feedback we received indicates that significant change to our current strategic direction and activities is not required. </w:t>
      </w:r>
    </w:p>
    <w:p w:rsidR="00314D9B" w:rsidRPr="006552E9" w:rsidRDefault="00314D9B" w:rsidP="00314D9B">
      <w:r w:rsidRPr="006552E9">
        <w:t xml:space="preserve">Feedback indicates that our current outcomes, and our strategy and approach of providing funding, capability building and advocacy services all remain valid and appropriate. However, we are aware there are </w:t>
      </w:r>
      <w:r w:rsidR="009A23A0">
        <w:t xml:space="preserve">several </w:t>
      </w:r>
      <w:r w:rsidR="002D1A00" w:rsidRPr="006552E9">
        <w:t xml:space="preserve">areas where </w:t>
      </w:r>
      <w:r w:rsidRPr="006552E9">
        <w:t>our stakeholders and customers would like us to do more, or do differently.</w:t>
      </w:r>
      <w:r w:rsidR="00175E6D" w:rsidRPr="006552E9">
        <w:t xml:space="preserve"> </w:t>
      </w:r>
    </w:p>
    <w:p w:rsidR="001D3054" w:rsidRPr="006552E9" w:rsidRDefault="001D3054" w:rsidP="00314D9B">
      <w:r w:rsidRPr="006552E9">
        <w:t>We have drafted a strategic plan reflecting both our existing activities that will continue and the new areas of focus we have identified, including:</w:t>
      </w:r>
    </w:p>
    <w:p w:rsidR="001D3054" w:rsidRPr="006552E9" w:rsidRDefault="001D3054" w:rsidP="001D3054">
      <w:pPr>
        <w:pStyle w:val="Bullet"/>
      </w:pPr>
      <w:r w:rsidRPr="006552E9">
        <w:t>improving our internal operations – the transition to a unitary Arts Council</w:t>
      </w:r>
      <w:r w:rsidR="009A23A0">
        <w:t>,</w:t>
      </w:r>
      <w:r w:rsidRPr="006552E9">
        <w:rPr>
          <w:rStyle w:val="FootnoteReference"/>
        </w:rPr>
        <w:footnoteReference w:id="9"/>
      </w:r>
      <w:r w:rsidRPr="006552E9">
        <w:t xml:space="preserve"> implementing contemporary systems and streamlining service delivery</w:t>
      </w:r>
    </w:p>
    <w:p w:rsidR="001D3054" w:rsidRPr="006552E9" w:rsidRDefault="001D3054" w:rsidP="001D3054">
      <w:pPr>
        <w:pStyle w:val="Bullet"/>
      </w:pPr>
      <w:r w:rsidRPr="006552E9">
        <w:t>the influencing agenda – building the evidence base for the value of the arts</w:t>
      </w:r>
      <w:r w:rsidR="00A04921" w:rsidRPr="006552E9">
        <w:t xml:space="preserve"> and </w:t>
      </w:r>
      <w:r w:rsidR="00B1339A" w:rsidRPr="006552E9">
        <w:t xml:space="preserve">working with local and central government agencies to respond to the changing </w:t>
      </w:r>
      <w:r w:rsidR="00A04921" w:rsidRPr="006552E9">
        <w:t>needs of Auckland and Christchurch.</w:t>
      </w:r>
    </w:p>
    <w:p w:rsidR="00A04921" w:rsidRPr="006552E9" w:rsidRDefault="00A04921" w:rsidP="00A04921">
      <w:r w:rsidRPr="006552E9">
        <w:t>The draft plan was open for public submissions in July and August 2013.</w:t>
      </w:r>
      <w:r w:rsidR="00175E6D" w:rsidRPr="006552E9">
        <w:t xml:space="preserve"> </w:t>
      </w:r>
      <w:r w:rsidRPr="006552E9">
        <w:t xml:space="preserve">It is expected that the final plan – including </w:t>
      </w:r>
      <w:r w:rsidR="002D1A00" w:rsidRPr="006552E9">
        <w:t xml:space="preserve">responses to </w:t>
      </w:r>
      <w:r w:rsidRPr="006552E9">
        <w:t>public submissions – will be adopted by the Arts Council in October and published in November 2013.</w:t>
      </w:r>
    </w:p>
    <w:p w:rsidR="00640093" w:rsidRPr="006552E9" w:rsidRDefault="00640093" w:rsidP="00314D9B">
      <w:pPr>
        <w:pStyle w:val="Heading3"/>
      </w:pPr>
      <w:bookmarkStart w:id="21" w:name="_Toc373415001"/>
      <w:r w:rsidRPr="006552E9">
        <w:t xml:space="preserve">Grants </w:t>
      </w:r>
      <w:r w:rsidR="00164EBE" w:rsidRPr="006552E9">
        <w:t xml:space="preserve">and customer </w:t>
      </w:r>
      <w:r w:rsidRPr="006552E9">
        <w:t>management</w:t>
      </w:r>
      <w:r w:rsidR="00737BD6" w:rsidRPr="006552E9">
        <w:t xml:space="preserve"> system</w:t>
      </w:r>
      <w:bookmarkEnd w:id="21"/>
    </w:p>
    <w:p w:rsidR="00164EBE" w:rsidRPr="006552E9" w:rsidRDefault="00164EBE" w:rsidP="00640093">
      <w:r w:rsidRPr="006552E9">
        <w:t xml:space="preserve">One of the key projects </w:t>
      </w:r>
      <w:r w:rsidR="002D1A00" w:rsidRPr="006552E9">
        <w:t xml:space="preserve">in </w:t>
      </w:r>
      <w:r w:rsidRPr="006552E9">
        <w:t xml:space="preserve">the strategic plan is </w:t>
      </w:r>
      <w:r w:rsidR="002D1A00" w:rsidRPr="006552E9">
        <w:t xml:space="preserve">the </w:t>
      </w:r>
      <w:r w:rsidRPr="006552E9">
        <w:t>implement</w:t>
      </w:r>
      <w:r w:rsidR="002D1A00" w:rsidRPr="006552E9">
        <w:t xml:space="preserve">ation of </w:t>
      </w:r>
      <w:r w:rsidRPr="006552E9">
        <w:t xml:space="preserve">contemporary </w:t>
      </w:r>
      <w:r w:rsidR="00DC3799" w:rsidRPr="006552E9">
        <w:t xml:space="preserve">grants processing and </w:t>
      </w:r>
      <w:r w:rsidR="00315025" w:rsidRPr="006552E9">
        <w:t>c</w:t>
      </w:r>
      <w:r w:rsidR="00DC3799" w:rsidRPr="006552E9">
        <w:t xml:space="preserve">ustomer management </w:t>
      </w:r>
      <w:r w:rsidRPr="006552E9">
        <w:t>systems to replace the current paper</w:t>
      </w:r>
      <w:r w:rsidR="007471AE">
        <w:t xml:space="preserve"> based</w:t>
      </w:r>
      <w:r w:rsidRPr="006552E9">
        <w:t xml:space="preserve"> ones.</w:t>
      </w:r>
      <w:r w:rsidR="00175E6D" w:rsidRPr="006552E9">
        <w:t xml:space="preserve"> </w:t>
      </w:r>
      <w:r w:rsidRPr="006552E9">
        <w:t>During 2012/13, we selected software and a supplier for the new, combined system, and began the build process.</w:t>
      </w:r>
      <w:r w:rsidR="00175E6D" w:rsidRPr="006552E9">
        <w:t xml:space="preserve"> </w:t>
      </w:r>
      <w:r w:rsidRPr="006552E9">
        <w:t xml:space="preserve">It is expected that the new system will be </w:t>
      </w:r>
      <w:r w:rsidR="00EC08EB" w:rsidRPr="006552E9">
        <w:t>implemented from</w:t>
      </w:r>
      <w:r w:rsidRPr="006552E9">
        <w:t xml:space="preserve"> the end of 2013.</w:t>
      </w:r>
    </w:p>
    <w:p w:rsidR="0031262E" w:rsidRPr="006552E9" w:rsidRDefault="0031262E" w:rsidP="0031262E">
      <w:r w:rsidRPr="006552E9">
        <w:t xml:space="preserve">The new system will automate processes </w:t>
      </w:r>
      <w:r w:rsidR="009A23A0">
        <w:t>that</w:t>
      </w:r>
      <w:r w:rsidRPr="006552E9">
        <w:t xml:space="preserve"> are currently manual and provide for online applications and assessments.</w:t>
      </w:r>
      <w:r w:rsidRPr="006552E9">
        <w:rPr>
          <w:rStyle w:val="FootnoteReference"/>
        </w:rPr>
        <w:footnoteReference w:id="10"/>
      </w:r>
      <w:r w:rsidR="00175E6D" w:rsidRPr="006552E9">
        <w:t xml:space="preserve"> </w:t>
      </w:r>
      <w:r w:rsidRPr="006552E9">
        <w:t>Benefits of the new system will include:</w:t>
      </w:r>
    </w:p>
    <w:p w:rsidR="0031262E" w:rsidRPr="006552E9" w:rsidRDefault="0031262E" w:rsidP="0031262E">
      <w:pPr>
        <w:pStyle w:val="Bullet"/>
        <w:numPr>
          <w:ilvl w:val="0"/>
          <w:numId w:val="32"/>
        </w:numPr>
        <w:tabs>
          <w:tab w:val="clear" w:pos="777"/>
          <w:tab w:val="left" w:pos="567"/>
        </w:tabs>
        <w:ind w:left="567" w:hanging="510"/>
        <w:jc w:val="left"/>
      </w:pPr>
      <w:r w:rsidRPr="006552E9">
        <w:t>reduced timeframes and reduced costs of processing a grant application (both for our customers and for us)</w:t>
      </w:r>
    </w:p>
    <w:p w:rsidR="0031262E" w:rsidRPr="006552E9" w:rsidRDefault="0031262E" w:rsidP="0031262E">
      <w:pPr>
        <w:pStyle w:val="Bullet"/>
        <w:numPr>
          <w:ilvl w:val="0"/>
          <w:numId w:val="32"/>
        </w:numPr>
        <w:tabs>
          <w:tab w:val="clear" w:pos="777"/>
          <w:tab w:val="left" w:pos="567"/>
        </w:tabs>
        <w:ind w:left="567" w:hanging="510"/>
        <w:jc w:val="left"/>
      </w:pPr>
      <w:r w:rsidRPr="006552E9">
        <w:t>more transparent decision making processes.</w:t>
      </w:r>
    </w:p>
    <w:p w:rsidR="0031262E" w:rsidRPr="006552E9" w:rsidRDefault="0031262E" w:rsidP="0031262E">
      <w:r w:rsidRPr="006552E9">
        <w:t>The new system will also enable online reporting by Creative New Zealand clients and will</w:t>
      </w:r>
      <w:r w:rsidR="00175E6D" w:rsidRPr="006552E9">
        <w:t xml:space="preserve"> </w:t>
      </w:r>
      <w:r w:rsidRPr="006552E9">
        <w:t>provide our staff and stakeholders with easily accessible and better targeted information.</w:t>
      </w:r>
      <w:r w:rsidR="00175E6D" w:rsidRPr="006552E9">
        <w:t xml:space="preserve"> </w:t>
      </w:r>
      <w:r w:rsidRPr="006552E9">
        <w:t>We will use this information to improve our internal reporting</w:t>
      </w:r>
      <w:r w:rsidR="00B515E5" w:rsidRPr="006552E9">
        <w:t>,</w:t>
      </w:r>
      <w:r w:rsidRPr="006552E9">
        <w:t xml:space="preserve"> take the opportunity of our new governance structure to streamline our internal reporting processes, </w:t>
      </w:r>
      <w:r w:rsidR="00DC3799" w:rsidRPr="006552E9">
        <w:t xml:space="preserve">and </w:t>
      </w:r>
      <w:r w:rsidRPr="006552E9">
        <w:t>work with the Ministry for Culture and Heritage to improve the effectiveness and efficiency of our reporting to government.</w:t>
      </w:r>
    </w:p>
    <w:p w:rsidR="00640093" w:rsidRPr="006552E9" w:rsidRDefault="00604018" w:rsidP="00232557">
      <w:pPr>
        <w:pStyle w:val="Heading3"/>
      </w:pPr>
      <w:bookmarkStart w:id="22" w:name="_Toc373415002"/>
      <w:r w:rsidRPr="006552E9">
        <w:t>Old Public Trust Building</w:t>
      </w:r>
      <w:bookmarkEnd w:id="22"/>
      <w:r w:rsidR="00B515E5" w:rsidRPr="006552E9">
        <w:t xml:space="preserve"> </w:t>
      </w:r>
    </w:p>
    <w:p w:rsidR="00F36B1F" w:rsidRPr="006552E9" w:rsidRDefault="00595518" w:rsidP="00604018">
      <w:r w:rsidRPr="006552E9">
        <w:t>Following the July and August 2013 Marlborough earthquakes</w:t>
      </w:r>
      <w:r w:rsidR="00B515E5" w:rsidRPr="006552E9">
        <w:t>,</w:t>
      </w:r>
      <w:r w:rsidRPr="006552E9">
        <w:t xml:space="preserve"> the Arts Council has agreed to sell its share of </w:t>
      </w:r>
      <w:r w:rsidR="00EC08EB" w:rsidRPr="006552E9">
        <w:t>the</w:t>
      </w:r>
      <w:r w:rsidR="00822D4A" w:rsidRPr="006552E9">
        <w:t xml:space="preserve"> Old Public Trust Building</w:t>
      </w:r>
      <w:r w:rsidRPr="006552E9">
        <w:t>.</w:t>
      </w:r>
      <w:r w:rsidR="00175E6D" w:rsidRPr="006552E9">
        <w:t xml:space="preserve"> </w:t>
      </w:r>
      <w:r w:rsidR="003D1652" w:rsidRPr="006552E9">
        <w:t xml:space="preserve">This is disclosed in the ‘Events subsequent to balance date’ note and the ‘Contingent liabilities’ note of the financial statements. The decision to sell the building removes the contingent liability previously provisioned for proposed strengthening of the </w:t>
      </w:r>
      <w:r w:rsidR="00E203CC" w:rsidRPr="006552E9">
        <w:t>b</w:t>
      </w:r>
      <w:r w:rsidR="003D1652" w:rsidRPr="006552E9">
        <w:t>uilding</w:t>
      </w:r>
      <w:r w:rsidR="00F36B1F" w:rsidRPr="006552E9">
        <w:t xml:space="preserve">. </w:t>
      </w:r>
    </w:p>
    <w:p w:rsidR="00604018" w:rsidRPr="006552E9" w:rsidRDefault="00F36B1F" w:rsidP="00604018">
      <w:r w:rsidRPr="006552E9">
        <w:t xml:space="preserve">The </w:t>
      </w:r>
      <w:r w:rsidR="009A23A0">
        <w:t>building</w:t>
      </w:r>
      <w:r w:rsidRPr="006552E9">
        <w:t xml:space="preserve"> </w:t>
      </w:r>
      <w:r w:rsidR="00822D4A" w:rsidRPr="006552E9">
        <w:t>has been Creative New Zealand’s Wellington office for many years.</w:t>
      </w:r>
      <w:r w:rsidR="00175E6D" w:rsidRPr="006552E9">
        <w:t xml:space="preserve"> </w:t>
      </w:r>
      <w:r w:rsidR="00822D4A" w:rsidRPr="006552E9">
        <w:t>It is a category 1 Heritage Place but has been classified as earthquake prone under the Building Act 2004.</w:t>
      </w:r>
      <w:r w:rsidR="00175E6D" w:rsidRPr="006552E9">
        <w:t xml:space="preserve"> </w:t>
      </w:r>
    </w:p>
    <w:p w:rsidR="00822D4A" w:rsidRPr="006552E9" w:rsidRDefault="00822D4A" w:rsidP="00604018">
      <w:r w:rsidRPr="006552E9">
        <w:t>During 2012/13, work was undertaken to finalise the costs of strengthening and restoring the building so that an informed decision could be made on the building’s future.</w:t>
      </w:r>
      <w:r w:rsidR="00175E6D" w:rsidRPr="006552E9">
        <w:t xml:space="preserve"> </w:t>
      </w:r>
      <w:r w:rsidRPr="006552E9">
        <w:t>However, the July and August earthquakes damaged the interior of the building to the point where it had to be evacuated.</w:t>
      </w:r>
      <w:r w:rsidR="00175E6D" w:rsidRPr="006552E9">
        <w:t xml:space="preserve"> </w:t>
      </w:r>
      <w:r w:rsidRPr="006552E9">
        <w:t>Engineers advised that staff should not return to the building</w:t>
      </w:r>
      <w:r w:rsidR="00164EBE" w:rsidRPr="006552E9">
        <w:t xml:space="preserve"> </w:t>
      </w:r>
      <w:r w:rsidR="009A23A0">
        <w:t xml:space="preserve">and </w:t>
      </w:r>
      <w:r w:rsidR="00F36B1F" w:rsidRPr="006552E9">
        <w:t xml:space="preserve">that </w:t>
      </w:r>
      <w:r w:rsidR="009A23A0">
        <w:t>it</w:t>
      </w:r>
      <w:r w:rsidR="00B515E5" w:rsidRPr="006552E9">
        <w:t xml:space="preserve"> </w:t>
      </w:r>
      <w:r w:rsidR="00F36B1F" w:rsidRPr="006552E9">
        <w:t xml:space="preserve">should be strengthened as soon as practicable. </w:t>
      </w:r>
    </w:p>
    <w:p w:rsidR="00822D4A" w:rsidRPr="006552E9" w:rsidRDefault="00822D4A" w:rsidP="00604018">
      <w:r w:rsidRPr="006552E9">
        <w:t>A new location for Creative New Zealand’s Wellington office has been arranged at Aora</w:t>
      </w:r>
      <w:r w:rsidR="00164EBE" w:rsidRPr="006552E9">
        <w:t>ngi House, Molesworth Street.</w:t>
      </w:r>
      <w:r w:rsidR="00175E6D" w:rsidRPr="006552E9">
        <w:t xml:space="preserve"> </w:t>
      </w:r>
    </w:p>
    <w:p w:rsidR="00F36B1F" w:rsidRPr="006552E9" w:rsidRDefault="00F36B1F" w:rsidP="003A73EB">
      <w:pPr>
        <w:pStyle w:val="Heading3"/>
      </w:pPr>
      <w:bookmarkStart w:id="23" w:name="_Toc373415003"/>
      <w:bookmarkStart w:id="24" w:name="_Toc339551185"/>
      <w:bookmarkEnd w:id="11"/>
      <w:r w:rsidRPr="006552E9">
        <w:t>Arts Council of New Zealand Toi Aotearoa Bill</w:t>
      </w:r>
      <w:bookmarkEnd w:id="23"/>
      <w:r w:rsidRPr="006552E9">
        <w:t xml:space="preserve"> </w:t>
      </w:r>
    </w:p>
    <w:p w:rsidR="00F36B1F" w:rsidRPr="006552E9" w:rsidRDefault="00F36B1F">
      <w:pPr>
        <w:spacing w:before="0"/>
        <w:jc w:val="left"/>
      </w:pPr>
    </w:p>
    <w:p w:rsidR="00232557" w:rsidRPr="006552E9" w:rsidRDefault="00F36B1F" w:rsidP="003A73EB">
      <w:pPr>
        <w:spacing w:before="0"/>
        <w:rPr>
          <w:rFonts w:ascii="Arial Black" w:hAnsi="Arial Black"/>
          <w:bCs/>
          <w:color w:val="17365D"/>
          <w:kern w:val="32"/>
          <w:sz w:val="36"/>
          <w:szCs w:val="32"/>
        </w:rPr>
      </w:pPr>
      <w:r w:rsidRPr="006552E9">
        <w:t>Creative New Zealand anticipates the enactment of the Arts Council of New Zealand Toi Aotearoa Bill in the 2013/14 financial year.</w:t>
      </w:r>
      <w:r w:rsidR="00175E6D" w:rsidRPr="006552E9">
        <w:t xml:space="preserve"> </w:t>
      </w:r>
      <w:r w:rsidRPr="006552E9">
        <w:t xml:space="preserve">The Bill replaces the current governance structure of </w:t>
      </w:r>
      <w:r w:rsidR="003D1652" w:rsidRPr="006552E9">
        <w:t>the</w:t>
      </w:r>
      <w:r w:rsidRPr="006552E9">
        <w:t xml:space="preserve"> Arts Council, Arts Board, Te Waka Toi and the Pacific Arts Committee with </w:t>
      </w:r>
      <w:r w:rsidR="00B515E5" w:rsidRPr="006552E9">
        <w:t>a</w:t>
      </w:r>
      <w:r w:rsidR="003A79C8" w:rsidRPr="006552E9">
        <w:t xml:space="preserve"> unitary </w:t>
      </w:r>
      <w:r w:rsidR="00B515E5" w:rsidRPr="006552E9">
        <w:t xml:space="preserve">Arts </w:t>
      </w:r>
      <w:r w:rsidR="003A79C8" w:rsidRPr="006552E9">
        <w:t>Council.</w:t>
      </w:r>
      <w:r w:rsidR="00175E6D" w:rsidRPr="006552E9">
        <w:t xml:space="preserve"> </w:t>
      </w:r>
      <w:r w:rsidR="003A79C8" w:rsidRPr="006552E9">
        <w:t>The transition to the new unitary structure and the related changes to decision making and other delegations will be a</w:t>
      </w:r>
      <w:r w:rsidR="009A23A0">
        <w:t>n important</w:t>
      </w:r>
      <w:r w:rsidR="003A79C8" w:rsidRPr="006552E9">
        <w:t xml:space="preserve"> focus for Creative New Zealand in 2013/14.</w:t>
      </w:r>
      <w:r w:rsidR="00175E6D" w:rsidRPr="006552E9">
        <w:t xml:space="preserve"> </w:t>
      </w:r>
      <w:r w:rsidR="00232557" w:rsidRPr="006552E9">
        <w:br w:type="page"/>
      </w:r>
    </w:p>
    <w:bookmarkEnd w:id="24"/>
    <w:p w:rsidR="00604018" w:rsidRPr="006552E9" w:rsidRDefault="00604018" w:rsidP="00275F84">
      <w:pPr>
        <w:keepNext/>
        <w:sectPr w:rsidR="00604018" w:rsidRPr="006552E9" w:rsidSect="00910F52">
          <w:pgSz w:w="11907" w:h="16840" w:code="9"/>
          <w:pgMar w:top="1440" w:right="1440" w:bottom="1440" w:left="1440" w:header="708" w:footer="708" w:gutter="0"/>
          <w:cols w:space="708"/>
          <w:docGrid w:linePitch="360"/>
        </w:sectPr>
      </w:pPr>
    </w:p>
    <w:p w:rsidR="003027E3" w:rsidRPr="006552E9" w:rsidRDefault="003027E3" w:rsidP="0098014C">
      <w:pPr>
        <w:pStyle w:val="Title"/>
        <w:jc w:val="left"/>
      </w:pPr>
      <w:bookmarkStart w:id="25" w:name="_Toc373415004"/>
      <w:r w:rsidRPr="006552E9">
        <w:t>PART TWO: STATEMENT OF NON</w:t>
      </w:r>
      <w:r w:rsidR="003473D3" w:rsidRPr="006552E9">
        <w:t>-</w:t>
      </w:r>
      <w:r w:rsidRPr="006552E9">
        <w:t>FINANCIAL PERFORMANCE |</w:t>
      </w:r>
      <w:r w:rsidR="0098014C" w:rsidRPr="006552E9">
        <w:br/>
        <w:t>PŪRONGO WHAKATUTUKI KORE PŪTEA</w:t>
      </w:r>
      <w:bookmarkEnd w:id="25"/>
    </w:p>
    <w:p w:rsidR="003027E3" w:rsidRPr="006552E9" w:rsidRDefault="003027E3" w:rsidP="003027E3"/>
    <w:p w:rsidR="003027E3" w:rsidRPr="006552E9" w:rsidRDefault="003027E3" w:rsidP="003027E3"/>
    <w:p w:rsidR="003027E3" w:rsidRPr="006552E9" w:rsidRDefault="003027E3" w:rsidP="003027E3">
      <w:pPr>
        <w:pStyle w:val="Heading1"/>
        <w:jc w:val="left"/>
      </w:pPr>
      <w:r w:rsidRPr="006552E9">
        <w:br w:type="page"/>
      </w:r>
      <w:bookmarkStart w:id="26" w:name="_Toc373415005"/>
      <w:r w:rsidRPr="006552E9">
        <w:t xml:space="preserve">Performance against </w:t>
      </w:r>
      <w:r w:rsidR="003473D3" w:rsidRPr="006552E9">
        <w:t xml:space="preserve">strategic outcomes </w:t>
      </w:r>
      <w:r w:rsidRPr="006552E9">
        <w:t>|</w:t>
      </w:r>
      <w:r w:rsidRPr="006552E9">
        <w:br/>
        <w:t xml:space="preserve">Ngā </w:t>
      </w:r>
      <w:r w:rsidR="003473D3" w:rsidRPr="006552E9">
        <w:t>tairitenga me ngā whakaritenga hua o te rautaki</w:t>
      </w:r>
      <w:bookmarkEnd w:id="26"/>
    </w:p>
    <w:p w:rsidR="003027E3" w:rsidRPr="006552E9" w:rsidRDefault="003027E3" w:rsidP="003027E3">
      <w:pPr>
        <w:pStyle w:val="Heading2"/>
      </w:pPr>
      <w:bookmarkStart w:id="27" w:name="_Toc373415006"/>
      <w:r w:rsidRPr="006552E9">
        <w:t>Summary</w:t>
      </w:r>
      <w:bookmarkEnd w:id="27"/>
    </w:p>
    <w:p w:rsidR="003027E3" w:rsidRPr="006552E9" w:rsidRDefault="003027E3" w:rsidP="003027E3">
      <w:r w:rsidRPr="006552E9">
        <w:t xml:space="preserve">The </w:t>
      </w:r>
      <w:r w:rsidR="00BF5FF3" w:rsidRPr="006552E9">
        <w:t>SOI</w:t>
      </w:r>
      <w:r w:rsidRPr="006552E9">
        <w:t xml:space="preserve"> 2012–15 sets out the forecast for Creative New Zealand’s outcomes.</w:t>
      </w:r>
      <w:r w:rsidR="00175E6D" w:rsidRPr="006552E9">
        <w:t xml:space="preserve"> </w:t>
      </w:r>
      <w:r w:rsidRPr="006552E9">
        <w:t>During 2012/13, Creative New Zealand met or exceeded 8</w:t>
      </w:r>
      <w:r w:rsidR="00481AE4">
        <w:t>1</w:t>
      </w:r>
      <w:r w:rsidRPr="006552E9">
        <w:t xml:space="preserve"> percent of the performance forecasts </w:t>
      </w:r>
      <w:r w:rsidR="00481AE4">
        <w:t xml:space="preserve">set </w:t>
      </w:r>
      <w:r w:rsidRPr="006552E9">
        <w:t>under the four strategic outcomes.</w:t>
      </w:r>
      <w:r w:rsidR="00481AE4">
        <w:rPr>
          <w:rStyle w:val="FootnoteReference"/>
        </w:rPr>
        <w:footnoteReference w:id="11"/>
      </w:r>
      <w:r w:rsidRPr="006552E9">
        <w:t xml:space="preserve"> </w:t>
      </w:r>
    </w:p>
    <w:p w:rsidR="003027E3" w:rsidRPr="006552E9" w:rsidRDefault="003027E3" w:rsidP="003027E3">
      <w:r w:rsidRPr="006552E9">
        <w:t>Support was provided to the arts sector through funding, capability building and advocacy programmes across all four outcomes, in a similar pattern to that since 2009/10.</w:t>
      </w:r>
    </w:p>
    <w:p w:rsidR="003027E3" w:rsidRPr="006552E9" w:rsidRDefault="005D6E4A" w:rsidP="003027E3">
      <w:pPr>
        <w:keepNext/>
      </w:pPr>
      <w:r>
        <w:pict>
          <v:shape id="_x0000_i1030" type="#_x0000_t75" alt="Pie chart showing distribution of 2012/13 funding by outcome.&#10;&#10;Outcome 1: Participate in the arts  $5,753,457 &#10;Outcome 2: High-quality art is developed  $12,184,510 &#10;Outcome 3: Experience the arts   $16,578,020 &#10;Outcome 4: International success  $4,113,606 &#10;Total funding   $38,629,593 &#10;" style="width:296.75pt;height:234.8pt">
            <v:imagedata r:id="rId22"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6</w:t>
      </w:r>
      <w:r w:rsidR="006E1B57" w:rsidRPr="006552E9">
        <w:fldChar w:fldCharType="end"/>
      </w:r>
      <w:r w:rsidRPr="006552E9">
        <w:t xml:space="preserve">: Distribution of 2012/13 expenditure </w:t>
      </w:r>
      <w:r w:rsidR="00F55836" w:rsidRPr="006552E9">
        <w:t xml:space="preserve">(excluding personnel costs and overheads) </w:t>
      </w:r>
      <w:r w:rsidRPr="006552E9">
        <w:t>by outcome</w:t>
      </w:r>
    </w:p>
    <w:p w:rsidR="003027E3" w:rsidRPr="006552E9" w:rsidRDefault="003027E3" w:rsidP="003027E3">
      <w:r w:rsidRPr="006552E9">
        <w:t xml:space="preserve">We are one of many agencies contributing to </w:t>
      </w:r>
      <w:r w:rsidRPr="006552E9">
        <w:rPr>
          <w:b/>
        </w:rPr>
        <w:t>Outcome 1: New Zealanders participate in the arts</w:t>
      </w:r>
      <w:r w:rsidRPr="006552E9">
        <w:t>.</w:t>
      </w:r>
      <w:r w:rsidR="00175E6D" w:rsidRPr="006552E9">
        <w:t xml:space="preserve"> </w:t>
      </w:r>
      <w:r w:rsidRPr="006552E9">
        <w:t>Others include gaming and community trusts, local government, iwi, local businesses, other parts of central government, and individual artists and arts organisations, including arts festivals.</w:t>
      </w:r>
    </w:p>
    <w:p w:rsidR="003027E3" w:rsidRPr="006552E9" w:rsidRDefault="003027E3" w:rsidP="003027E3">
      <w:r w:rsidRPr="006552E9">
        <w:t xml:space="preserve">For </w:t>
      </w:r>
      <w:r w:rsidRPr="006552E9">
        <w:rPr>
          <w:b/>
        </w:rPr>
        <w:t>Outcome 2: High-quality New Zealand art is developed</w:t>
      </w:r>
      <w:r w:rsidRPr="006552E9">
        <w:t xml:space="preserve"> and </w:t>
      </w:r>
      <w:r w:rsidRPr="006552E9">
        <w:rPr>
          <w:b/>
        </w:rPr>
        <w:t>Outcome 3: New Zealanders experience high-quality arts</w:t>
      </w:r>
      <w:r w:rsidRPr="006552E9">
        <w:t>, Creative New Zealand is the only national arts development organisation working across all artforms.</w:t>
      </w:r>
      <w:r w:rsidR="00175E6D" w:rsidRPr="006552E9">
        <w:t xml:space="preserve"> </w:t>
      </w:r>
      <w:r w:rsidRPr="006552E9">
        <w:t xml:space="preserve">As a result, these two outcomes are our largest areas of investment, comprising </w:t>
      </w:r>
      <w:r w:rsidR="00AC1BC5">
        <w:t>nearly</w:t>
      </w:r>
      <w:r w:rsidRPr="006552E9">
        <w:t xml:space="preserve"> three-quarters of expenditure.</w:t>
      </w:r>
    </w:p>
    <w:p w:rsidR="003027E3" w:rsidRPr="006552E9" w:rsidRDefault="003027E3" w:rsidP="003027E3">
      <w:pPr>
        <w:rPr>
          <w:b/>
          <w:bCs/>
          <w:iCs/>
          <w:color w:val="365F91"/>
          <w:sz w:val="32"/>
          <w:szCs w:val="28"/>
        </w:rPr>
      </w:pPr>
      <w:r w:rsidRPr="006552E9">
        <w:t xml:space="preserve">The investment in </w:t>
      </w:r>
      <w:r w:rsidRPr="006552E9">
        <w:rPr>
          <w:b/>
        </w:rPr>
        <w:t>Outcome 4: New Zealand arts gain international success</w:t>
      </w:r>
      <w:r w:rsidRPr="006552E9">
        <w:t xml:space="preserve"> reflects the smaller number of artists, arts practitioners and arts organisations operating internationally and our main focus on developing high-quality art in New Zealand for New Zealand audiences.</w:t>
      </w:r>
      <w:r w:rsidRPr="006552E9">
        <w:br w:type="page"/>
      </w:r>
    </w:p>
    <w:p w:rsidR="003027E3" w:rsidRPr="006552E9" w:rsidRDefault="003027E3" w:rsidP="003027E3">
      <w:pPr>
        <w:pStyle w:val="Heading2"/>
      </w:pPr>
      <w:bookmarkStart w:id="28" w:name="_Toc373415007"/>
      <w:r w:rsidRPr="006552E9">
        <w:t>Outcome 1: New Zealanders participate in the arts</w:t>
      </w:r>
      <w:bookmarkEnd w:id="28"/>
      <w:r w:rsidRPr="006552E9">
        <w:t xml:space="preserve"> </w:t>
      </w:r>
    </w:p>
    <w:p w:rsidR="003027E3" w:rsidRPr="006552E9" w:rsidRDefault="003027E3" w:rsidP="003027E3">
      <w:pPr>
        <w:pStyle w:val="Heading3"/>
      </w:pPr>
      <w:bookmarkStart w:id="29" w:name="_Toc373415008"/>
      <w:r w:rsidRPr="006552E9">
        <w:t>Our stories from 2012/13</w:t>
      </w:r>
      <w:bookmarkEnd w:id="29"/>
    </w:p>
    <w:p w:rsidR="008439A2" w:rsidRDefault="008439A2" w:rsidP="008439A2">
      <w:pPr>
        <w:pStyle w:val="Heading4"/>
      </w:pPr>
      <w:r>
        <w:rPr>
          <w:rFonts w:ascii="Helvetica" w:hAnsi="Helvetica"/>
          <w:noProof/>
          <w:color w:val="00A5D3"/>
          <w:sz w:val="18"/>
          <w:szCs w:val="18"/>
        </w:rPr>
        <w:drawing>
          <wp:anchor distT="0" distB="0" distL="114300" distR="114300" simplePos="0" relativeHeight="251662336" behindDoc="0" locked="0" layoutInCell="1" allowOverlap="1" wp14:anchorId="2B2613FC" wp14:editId="6ED96B0F">
            <wp:simplePos x="914400" y="1955800"/>
            <wp:positionH relativeFrom="margin">
              <wp:align>right</wp:align>
            </wp:positionH>
            <wp:positionV relativeFrom="margin">
              <wp:posOffset>1069036</wp:posOffset>
            </wp:positionV>
            <wp:extent cx="1631315" cy="2438400"/>
            <wp:effectExtent l="0" t="0" r="0" b="0"/>
            <wp:wrapSquare wrapText="bothSides"/>
            <wp:docPr id="5" name="Picture 5" descr="apo-sistema-concert-2012-4" title="Picture of young violinist at the Sistema Aotearoa concert 2012">
              <a:hlinkClick xmlns:a="http://schemas.openxmlformats.org/drawingml/2006/main" r:id="rId2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o-sistema-concert-2012-4">
                      <a:hlinkClick r:id="rId23" tooltip="&quot; &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6015" cy="2444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C4F">
        <w:t>Sistema Aotearoa</w:t>
      </w:r>
    </w:p>
    <w:p w:rsidR="008439A2" w:rsidRDefault="008439A2" w:rsidP="008439A2">
      <w:pPr>
        <w:rPr>
          <w:lang w:val="en-US"/>
        </w:rPr>
      </w:pPr>
      <w:r>
        <w:t>For the second year, Creative New Zealand supported the Auckland Philharmonia Orchestra to work with seven South Auckland schools, teaching children from year two onwards to play violin, viola, cello or double bass.</w:t>
      </w:r>
      <w:r w:rsidR="00B92908">
        <w:t xml:space="preserve"> </w:t>
      </w:r>
      <w:r>
        <w:t>The programme is based on El Sistema, one of the world’s most successful music and social development programmes, originating in Venezuela.</w:t>
      </w:r>
      <w:r w:rsidR="00B92908">
        <w:t xml:space="preserve"> </w:t>
      </w:r>
      <w:r>
        <w:t xml:space="preserve">It is </w:t>
      </w:r>
      <w:r>
        <w:rPr>
          <w:lang w:val="en-US"/>
        </w:rPr>
        <w:t>credited with improving the lives and lifting the aspirations of participants and their families, reducing crime, increasing school attendance rates and preventing anti-social behavio</w:t>
      </w:r>
      <w:r w:rsidR="00497F8B">
        <w:rPr>
          <w:lang w:val="en-US"/>
        </w:rPr>
        <w:t>u</w:t>
      </w:r>
      <w:r>
        <w:rPr>
          <w:lang w:val="en-US"/>
        </w:rPr>
        <w:t>r.</w:t>
      </w:r>
    </w:p>
    <w:p w:rsidR="00F640F7" w:rsidRDefault="008439A2" w:rsidP="008439A2">
      <w:r>
        <w:rPr>
          <w:lang w:val="en-US"/>
        </w:rPr>
        <w:t>Based at the Otara Music Arts Centre, Sistema Aotearoa provide</w:t>
      </w:r>
      <w:r w:rsidR="00FC09C8">
        <w:rPr>
          <w:lang w:val="en-US"/>
        </w:rPr>
        <w:t>s</w:t>
      </w:r>
      <w:r>
        <w:rPr>
          <w:lang w:val="en-US"/>
        </w:rPr>
        <w:t xml:space="preserve"> group tuition in a community setting, in school, after school and in holidays.</w:t>
      </w:r>
      <w:r>
        <w:t xml:space="preserve"> </w:t>
      </w:r>
      <w:r w:rsidR="00FC09C8">
        <w:t xml:space="preserve">(Artform – music; </w:t>
      </w:r>
      <w:r w:rsidR="00BA740A">
        <w:t xml:space="preserve">location – South Auckland; </w:t>
      </w:r>
      <w:r w:rsidR="00FC09C8">
        <w:t>funding – special initiative)</w:t>
      </w:r>
    </w:p>
    <w:p w:rsidR="00B01AB3" w:rsidRDefault="005D6E4A" w:rsidP="008439A2">
      <w:pPr>
        <w:pStyle w:val="Heading4"/>
      </w:pPr>
      <w:r>
        <w:rPr>
          <w:noProof/>
        </w:rPr>
        <w:pict>
          <v:shapetype id="_x0000_t202" coordsize="21600,21600" o:spt="202" path="m,l,21600r21600,l21600,xe">
            <v:stroke joinstyle="miter"/>
            <v:path gradientshapeok="t" o:connecttype="rect"/>
          </v:shapetype>
          <v:shape id="_x0000_s1142" type="#_x0000_t202" style="position:absolute;left:0;text-align:left;margin-left:321.75pt;margin-top:2.3pt;width:129.15pt;height:35.15pt;z-index:251664384;mso-position-horizontal-relative:text;mso-position-vertical-relative:text" stroked="f">
            <v:textbox inset="0,0,0,0">
              <w:txbxContent>
                <w:p w:rsidR="005D6E4A" w:rsidRPr="00DA659C" w:rsidRDefault="005D6E4A" w:rsidP="008439A2">
                  <w:pPr>
                    <w:pStyle w:val="Caption"/>
                    <w:rPr>
                      <w:rFonts w:ascii="Helvetica" w:hAnsi="Helvetica"/>
                      <w:noProof/>
                      <w:color w:val="00A5D3"/>
                    </w:rPr>
                  </w:pPr>
                  <w:r>
                    <w:t xml:space="preserve">Figure </w:t>
                  </w:r>
                  <w:fldSimple w:instr=" SEQ Figure \* ARABIC ">
                    <w:r>
                      <w:rPr>
                        <w:noProof/>
                      </w:rPr>
                      <w:t>7</w:t>
                    </w:r>
                  </w:fldSimple>
                  <w:r>
                    <w:t>: Sistema Aotearoa concert, 2012.</w:t>
                  </w:r>
                  <w:r>
                    <w:rPr>
                      <w:noProof/>
                    </w:rPr>
                    <w:t xml:space="preserve"> Photo courtesy of Adrian Malloch.</w:t>
                  </w:r>
                </w:p>
              </w:txbxContent>
            </v:textbox>
            <w10:wrap type="square"/>
          </v:shape>
        </w:pict>
      </w:r>
    </w:p>
    <w:p w:rsidR="00776C4F" w:rsidRDefault="00B01AB3" w:rsidP="008439A2">
      <w:pPr>
        <w:pStyle w:val="Heading4"/>
      </w:pPr>
      <w:r>
        <w:rPr>
          <w:noProof/>
        </w:rPr>
        <w:drawing>
          <wp:anchor distT="0" distB="0" distL="114300" distR="114300" simplePos="0" relativeHeight="251665408" behindDoc="0" locked="0" layoutInCell="1" allowOverlap="1" wp14:anchorId="0A960D66" wp14:editId="398CCAD0">
            <wp:simplePos x="0" y="0"/>
            <wp:positionH relativeFrom="margin">
              <wp:posOffset>13335</wp:posOffset>
            </wp:positionH>
            <wp:positionV relativeFrom="margin">
              <wp:posOffset>4120515</wp:posOffset>
            </wp:positionV>
            <wp:extent cx="2272665" cy="3409950"/>
            <wp:effectExtent l="0" t="0" r="0" b="0"/>
            <wp:wrapSquare wrapText="bothSides"/>
            <wp:docPr id="7" name="Picture 7" title="Picture of actor and two children, in cardboard cars, from Dominator Cardboard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eh\AppData\Local\Microsoft\Windows\Temporary Internet Files\Content.Outlook\NVWD04DH\ATC_AUTDomRdStoriesIMG_0713-0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266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C4F">
        <w:t xml:space="preserve">AUT </w:t>
      </w:r>
      <w:r w:rsidR="00156C4F">
        <w:t>Dominion Road Stories</w:t>
      </w:r>
    </w:p>
    <w:p w:rsidR="00776C4F" w:rsidRDefault="00776C4F" w:rsidP="00776C4F">
      <w:r>
        <w:t xml:space="preserve">Auckland Theatre Company (ATC) presented its inaugural community show, </w:t>
      </w:r>
      <w:r w:rsidRPr="00776C4F">
        <w:rPr>
          <w:i/>
        </w:rPr>
        <w:t>AUT Dominion Road Stories</w:t>
      </w:r>
      <w:r>
        <w:t xml:space="preserve">, as part of </w:t>
      </w:r>
      <w:r w:rsidR="00497F8B">
        <w:t xml:space="preserve">the </w:t>
      </w:r>
      <w:r>
        <w:t xml:space="preserve">Auckland Arts Festival 2013. The project was the </w:t>
      </w:r>
      <w:r w:rsidR="00497F8B">
        <w:t>result</w:t>
      </w:r>
      <w:r>
        <w:t xml:space="preserve"> of two years’ work with local groups and community organisations via the ATC Participate </w:t>
      </w:r>
      <w:r w:rsidR="00497F8B">
        <w:t>programme</w:t>
      </w:r>
      <w:r>
        <w:t xml:space="preserve">, developed as a part of </w:t>
      </w:r>
      <w:r w:rsidR="00497F8B">
        <w:t>ATC</w:t>
      </w:r>
      <w:r>
        <w:t>’s move into a permanent residence within the Dominion Road community in late 2010.</w:t>
      </w:r>
    </w:p>
    <w:p w:rsidR="00776C4F" w:rsidRDefault="005D6E4A" w:rsidP="00776C4F">
      <w:r>
        <w:rPr>
          <w:noProof/>
        </w:rPr>
        <w:pict>
          <v:shape id="_x0000_s1143" type="#_x0000_t202" style="position:absolute;left:0;text-align:left;margin-left:-187.8pt;margin-top:144.2pt;width:178.8pt;height:36.75pt;z-index:251667456;mso-position-horizontal-relative:text;mso-position-vertical-relative:text" stroked="f">
            <v:textbox inset="0,0,0,0">
              <w:txbxContent>
                <w:p w:rsidR="005D6E4A" w:rsidRPr="00776808" w:rsidRDefault="005D6E4A" w:rsidP="005A64FD">
                  <w:pPr>
                    <w:pStyle w:val="Caption"/>
                    <w:rPr>
                      <w:noProof/>
                      <w:szCs w:val="24"/>
                    </w:rPr>
                  </w:pPr>
                  <w:r>
                    <w:t xml:space="preserve">Figure </w:t>
                  </w:r>
                  <w:fldSimple w:instr=" SEQ Figure \* ARABIC ">
                    <w:r>
                      <w:rPr>
                        <w:noProof/>
                      </w:rPr>
                      <w:t>8</w:t>
                    </w:r>
                  </w:fldSimple>
                  <w:r>
                    <w:t xml:space="preserve">: </w:t>
                  </w:r>
                  <w:r>
                    <w:rPr>
                      <w:i/>
                    </w:rPr>
                    <w:t xml:space="preserve">Dominator Cardboard Collision </w:t>
                  </w:r>
                  <w:r>
                    <w:t>– children’s show, 2013. Photo courtesy of Andrew Malmo.</w:t>
                  </w:r>
                </w:p>
              </w:txbxContent>
            </v:textbox>
            <w10:wrap type="square"/>
          </v:shape>
        </w:pict>
      </w:r>
      <w:r w:rsidR="00776C4F">
        <w:t>As a result, over 200 volunteers, 30 professional and emerging artists and all of ATC’s staff were involved in the production and performances which featured a free family picnic and concert in Potters Park, shows at the Balmoral Bowling Club, Auckland Philharmonia Orchestra rehearsal studios, a children’s show in the M</w:t>
      </w:r>
      <w:r w:rsidR="00497F8B">
        <w:t>ount</w:t>
      </w:r>
      <w:r w:rsidR="00776C4F">
        <w:t xml:space="preserve"> Eden War Memorial Hall and a tour of the Asian food quarter of Dominion Road. The project also included an ongoing oral history collaboration with Auckland Library to collect ‘Dominion Road stories’ from locals and visitors over the weekend. </w:t>
      </w:r>
    </w:p>
    <w:p w:rsidR="007B6CDB" w:rsidRDefault="00776C4F" w:rsidP="00776C4F">
      <w:r>
        <w:t xml:space="preserve">The wide range of activities </w:t>
      </w:r>
      <w:r w:rsidR="00F81CFA">
        <w:t>was</w:t>
      </w:r>
      <w:r>
        <w:t xml:space="preserve"> enjoyed by audience and reviewers alike, making </w:t>
      </w:r>
      <w:r w:rsidR="00497F8B">
        <w:rPr>
          <w:lang w:val="en-US"/>
        </w:rPr>
        <w:t>ATC</w:t>
      </w:r>
      <w:r>
        <w:rPr>
          <w:lang w:val="en-US"/>
        </w:rPr>
        <w:t>’s first community theatre project a great success</w:t>
      </w:r>
      <w:r>
        <w:t>.</w:t>
      </w:r>
      <w:r w:rsidR="00B92908">
        <w:t xml:space="preserve"> </w:t>
      </w:r>
      <w:r>
        <w:t xml:space="preserve">(Artform – theatre; </w:t>
      </w:r>
      <w:r w:rsidR="00BA740A">
        <w:t xml:space="preserve">location – Auckland; </w:t>
      </w:r>
      <w:r>
        <w:t>funding –</w:t>
      </w:r>
      <w:r w:rsidR="00B01AB3">
        <w:t xml:space="preserve"> </w:t>
      </w:r>
      <w:r>
        <w:t>Tōtara investment programme)</w:t>
      </w:r>
      <w:r w:rsidR="00B01AB3">
        <w:t>.</w:t>
      </w:r>
    </w:p>
    <w:p w:rsidR="00FC09C8" w:rsidRPr="00776C4F" w:rsidRDefault="00156C4F" w:rsidP="00FC09C8">
      <w:pPr>
        <w:pStyle w:val="Heading4"/>
      </w:pPr>
      <w:r>
        <w:t>Creative Communities projects</w:t>
      </w:r>
    </w:p>
    <w:p w:rsidR="00FC09C8" w:rsidRDefault="00FC09C8" w:rsidP="00FC09C8">
      <w:r>
        <w:t xml:space="preserve">During the year, the Creative Communities Scheme, operated through the 67 territorial authorities, funded a range of projects throughout the country </w:t>
      </w:r>
      <w:r w:rsidR="00BA740A">
        <w:t xml:space="preserve">covering themes as diverse as the Ellerslie One Act Play Festival 2013, a DVD on 30 years of the Monte Cecilia Housing Trust, an interactive area at the New Zealand Body Art show, a sand sculpting event, potter’s wheel tuition, a wide range of concerts and musical events, an exhibition of art by the intellectually disabled, Māori cloak/kakahu weaving workshops, cultural festivals by a wide range of ethnic groups and local theatre productions. (Artforms – all; location – all; funding </w:t>
      </w:r>
      <w:r w:rsidR="00DA3622">
        <w:t xml:space="preserve">– </w:t>
      </w:r>
      <w:r w:rsidR="00BA740A">
        <w:t xml:space="preserve">Creative Communities Scheme) </w:t>
      </w:r>
    </w:p>
    <w:p w:rsidR="003027E3" w:rsidRPr="006552E9" w:rsidRDefault="003027E3" w:rsidP="003027E3">
      <w:pPr>
        <w:pStyle w:val="Heading3"/>
      </w:pPr>
      <w:bookmarkStart w:id="30" w:name="_Toc373415009"/>
      <w:r w:rsidRPr="006552E9">
        <w:t>What we were seeking to achieve</w:t>
      </w:r>
      <w:bookmarkEnd w:id="30"/>
    </w:p>
    <w:p w:rsidR="003027E3" w:rsidRPr="006552E9" w:rsidRDefault="003027E3" w:rsidP="003027E3">
      <w:r w:rsidRPr="006552E9">
        <w:t>We seek to ensure that New Zealanders have the chance to participate in the arts.</w:t>
      </w:r>
      <w:r w:rsidR="00175E6D" w:rsidRPr="006552E9">
        <w:t xml:space="preserve"> </w:t>
      </w:r>
      <w:r w:rsidRPr="006552E9">
        <w:t xml:space="preserve">By </w:t>
      </w:r>
      <w:r w:rsidR="004E4FB5">
        <w:t>‘</w:t>
      </w:r>
      <w:r w:rsidRPr="006552E9">
        <w:t>participate</w:t>
      </w:r>
      <w:r w:rsidR="004E4FB5">
        <w:t>’</w:t>
      </w:r>
      <w:r w:rsidRPr="006552E9">
        <w:t>, we mean the direct involvement of individuals, groups and/or communities in making or presenting art.</w:t>
      </w:r>
      <w:r w:rsidR="00175E6D" w:rsidRPr="006552E9">
        <w:t xml:space="preserve"> </w:t>
      </w:r>
      <w:r w:rsidRPr="006552E9">
        <w:t xml:space="preserve">This includes opportunities to: </w:t>
      </w:r>
    </w:p>
    <w:p w:rsidR="003027E3" w:rsidRPr="006552E9" w:rsidRDefault="003027E3" w:rsidP="003027E3">
      <w:pPr>
        <w:pStyle w:val="Bullet"/>
        <w:numPr>
          <w:ilvl w:val="0"/>
          <w:numId w:val="32"/>
        </w:numPr>
        <w:tabs>
          <w:tab w:val="clear" w:pos="777"/>
          <w:tab w:val="left" w:pos="567"/>
        </w:tabs>
        <w:ind w:left="567" w:hanging="510"/>
        <w:jc w:val="left"/>
      </w:pPr>
      <w:r w:rsidRPr="006552E9">
        <w:t>celebrate, practise and transmit</w:t>
      </w:r>
      <w:r w:rsidR="00175E6D" w:rsidRPr="006552E9">
        <w:t xml:space="preserve"> </w:t>
      </w:r>
      <w:r w:rsidRPr="006552E9">
        <w:t>their diverse artistic traditions and cultural heritage</w:t>
      </w:r>
    </w:p>
    <w:p w:rsidR="003027E3" w:rsidRPr="006552E9" w:rsidRDefault="003027E3" w:rsidP="003027E3">
      <w:pPr>
        <w:pStyle w:val="Bullet"/>
        <w:numPr>
          <w:ilvl w:val="0"/>
          <w:numId w:val="31"/>
        </w:numPr>
        <w:tabs>
          <w:tab w:val="clear" w:pos="567"/>
        </w:tabs>
        <w:jc w:val="left"/>
      </w:pPr>
      <w:r w:rsidRPr="006552E9">
        <w:t>develop links between communities that improve cross-cultural understanding.</w:t>
      </w:r>
    </w:p>
    <w:p w:rsidR="003027E3" w:rsidRPr="006552E9" w:rsidRDefault="003027E3" w:rsidP="003027E3">
      <w:pPr>
        <w:pStyle w:val="Heading3"/>
      </w:pPr>
      <w:bookmarkStart w:id="31" w:name="_Toc373415010"/>
      <w:r w:rsidRPr="006552E9">
        <w:t>What we did</w:t>
      </w:r>
      <w:bookmarkEnd w:id="31"/>
    </w:p>
    <w:p w:rsidR="003027E3" w:rsidRPr="006552E9" w:rsidRDefault="003027E3" w:rsidP="003027E3">
      <w:r w:rsidRPr="006552E9">
        <w:t>We provided opportunities for communities throughout New Zealand to participate in a diverse range of artforms and arts practices.</w:t>
      </w:r>
      <w:r w:rsidR="00175E6D" w:rsidRPr="006552E9">
        <w:t xml:space="preserve"> </w:t>
      </w:r>
    </w:p>
    <w:p w:rsidR="003027E3" w:rsidRPr="006552E9" w:rsidRDefault="003027E3" w:rsidP="003027E3">
      <w:r w:rsidRPr="006552E9">
        <w:t xml:space="preserve">The </w:t>
      </w:r>
      <w:r w:rsidRPr="006552E9">
        <w:rPr>
          <w:b/>
        </w:rPr>
        <w:t>Creative Communities Scheme</w:t>
      </w:r>
      <w:r w:rsidRPr="006552E9">
        <w:t xml:space="preserve"> is </w:t>
      </w:r>
      <w:r w:rsidR="00497F8B">
        <w:t>an important</w:t>
      </w:r>
      <w:r w:rsidRPr="006552E9">
        <w:t xml:space="preserve"> means by which we support New Zealanders’ participation in the arts.</w:t>
      </w:r>
      <w:r w:rsidR="00175E6D" w:rsidRPr="006552E9">
        <w:t xml:space="preserve"> </w:t>
      </w:r>
      <w:r w:rsidRPr="006552E9">
        <w:t>It is a small grants scheme, devolved to all territorial authorities for delivery, which funds community arts projects and activities within the local area of each authority.</w:t>
      </w:r>
      <w:r w:rsidR="00175E6D" w:rsidRPr="006552E9">
        <w:t xml:space="preserve"> </w:t>
      </w:r>
    </w:p>
    <w:p w:rsidR="008B146F" w:rsidRPr="006552E9" w:rsidRDefault="003027E3" w:rsidP="003027E3">
      <w:r w:rsidRPr="006552E9">
        <w:t>Through our Grants and special opportunities and Earthquake funding programmes, we funded 59 projects focused on community arts and part</w:t>
      </w:r>
      <w:r w:rsidR="008B146F" w:rsidRPr="006552E9">
        <w:t>icipation, worth $1.4 million, including:</w:t>
      </w:r>
    </w:p>
    <w:p w:rsidR="008B146F" w:rsidRPr="006552E9" w:rsidRDefault="008B146F" w:rsidP="008B146F">
      <w:pPr>
        <w:pStyle w:val="Bullet"/>
      </w:pPr>
      <w:r w:rsidRPr="006552E9">
        <w:t>projects aimed at helping Māori and Pacific artists and communities to preserve their heritage arts</w:t>
      </w:r>
    </w:p>
    <w:p w:rsidR="008B146F" w:rsidRPr="006552E9" w:rsidRDefault="008B146F" w:rsidP="008B146F">
      <w:pPr>
        <w:pStyle w:val="Bullet"/>
      </w:pPr>
      <w:r w:rsidRPr="006552E9">
        <w:t>funding to support children in Otara learning to play and participate in classical music (Sistema Aotearoa)</w:t>
      </w:r>
    </w:p>
    <w:p w:rsidR="00615ABC" w:rsidRPr="006552E9" w:rsidRDefault="00615ABC" w:rsidP="008B146F">
      <w:pPr>
        <w:pStyle w:val="Bullet"/>
      </w:pPr>
      <w:r w:rsidRPr="006552E9">
        <w:t>several projects to support the recovery of the arts in Christchurch.</w:t>
      </w:r>
    </w:p>
    <w:p w:rsidR="000261DE" w:rsidRPr="0059357E" w:rsidRDefault="003027E3" w:rsidP="000261DE">
      <w:pPr>
        <w:rPr>
          <w:rFonts w:cs="Tahoma"/>
        </w:rPr>
      </w:pPr>
      <w:r w:rsidRPr="006552E9">
        <w:t>Organisations in the Tōtara and Kahikatea investment programmes undertook projects and activities aimed at encouraging people to participate in the arts worth a further $1 million.</w:t>
      </w:r>
      <w:r w:rsidR="00175E6D" w:rsidRPr="006552E9">
        <w:t xml:space="preserve"> </w:t>
      </w:r>
      <w:r w:rsidR="00B515E5" w:rsidRPr="006552E9">
        <w:t xml:space="preserve">Included in this </w:t>
      </w:r>
      <w:r w:rsidR="00497F8B">
        <w:t>wa</w:t>
      </w:r>
      <w:r w:rsidR="00B515E5" w:rsidRPr="006552E9">
        <w:t xml:space="preserve">s work done by Arts Access Aotearoa which </w:t>
      </w:r>
      <w:r w:rsidR="00B515E5" w:rsidRPr="00497F8B">
        <w:rPr>
          <w:rFonts w:cs="Arial"/>
        </w:rPr>
        <w:t xml:space="preserve">advocates for all people in New Zealand to have access to the arts by supporting people who experience barriers to participation or whose access is limited, including </w:t>
      </w:r>
      <w:r w:rsidR="00D47347" w:rsidRPr="00497F8B">
        <w:rPr>
          <w:rFonts w:cs="Arial"/>
        </w:rPr>
        <w:t>people with physical, sensory or intellectual impairments, mental health service users and prisoners.</w:t>
      </w:r>
    </w:p>
    <w:p w:rsidR="006552E9" w:rsidRPr="00497F8B" w:rsidRDefault="006552E9" w:rsidP="000261DE">
      <w:pPr>
        <w:rPr>
          <w:rFonts w:cs="Arial"/>
        </w:rPr>
      </w:pPr>
      <w:r w:rsidRPr="00497F8B">
        <w:rPr>
          <w:rFonts w:cs="Arial"/>
        </w:rPr>
        <w:t xml:space="preserve">Figure </w:t>
      </w:r>
      <w:r w:rsidR="00901445" w:rsidRPr="00497F8B">
        <w:rPr>
          <w:rFonts w:cs="Arial"/>
        </w:rPr>
        <w:t>9</w:t>
      </w:r>
      <w:r w:rsidRPr="00497F8B">
        <w:rPr>
          <w:rFonts w:cs="Arial"/>
        </w:rPr>
        <w:t xml:space="preserve"> shows how the investment in outcome 1 has developed over the past four years, in terms of contributions from the different funding programmes and total expenditure.</w:t>
      </w:r>
    </w:p>
    <w:p w:rsidR="003027E3" w:rsidRPr="006552E9" w:rsidRDefault="005D6E4A" w:rsidP="003027E3">
      <w:pPr>
        <w:keepNext/>
      </w:pPr>
      <w:r>
        <w:rPr>
          <w:rFonts w:cs="Arial"/>
        </w:rPr>
        <w:pict>
          <v:shape id="_x0000_i1031" type="#_x0000_t75" alt="Stacked bar graph showing funding for outcome 1 by programe by year&#10;&#10;Programme 2009/10 2010/11 2011/12 2012/13&#10;Tōtara programme (was RFOs)  $944,831   $929,537   $811,603   $812,403 &#10;Kahikatea programme  $-     $-     $176,323   $257,423 &#10;Grants &amp; special opportunities  $1,548,871   $1,406,426   $1,204,757   $1,375,430 &#10;Creative Communities Scheme  $2,800,450   $2,862,181   $3,310,725   $3,227,191 &#10;Earthquake fund  $-     $5,509   $150,338   $81,010 &#10;Advocacy  $-     $4,644   $96,096   $-   &#10;Total invested  $5,294,153   $5,208,298   $5,749,842   $5,753,457 &#10;" style="width:298.65pt;height:244.15pt">
            <v:imagedata r:id="rId26"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9</w:t>
      </w:r>
      <w:r w:rsidR="006E1B57" w:rsidRPr="006552E9">
        <w:fldChar w:fldCharType="end"/>
      </w:r>
      <w:r w:rsidRPr="006552E9">
        <w:t xml:space="preserve">: Outcome 1, </w:t>
      </w:r>
      <w:r w:rsidR="004E4FB5">
        <w:t>investment</w:t>
      </w:r>
      <w:r w:rsidRPr="006552E9">
        <w:t xml:space="preserve"> by programme, 2009/10 to 2012/13</w:t>
      </w:r>
      <w:r w:rsidRPr="006552E9">
        <w:rPr>
          <w:rStyle w:val="FootnoteReference"/>
        </w:rPr>
        <w:footnoteReference w:id="12"/>
      </w:r>
    </w:p>
    <w:p w:rsidR="003027E3" w:rsidRPr="006552E9" w:rsidRDefault="003027E3" w:rsidP="006E2669">
      <w:pPr>
        <w:pStyle w:val="Heading3"/>
      </w:pPr>
      <w:bookmarkStart w:id="32" w:name="_Toc373415011"/>
      <w:r w:rsidRPr="006552E9">
        <w:t>How we performed</w:t>
      </w:r>
      <w:bookmarkEnd w:id="32"/>
    </w:p>
    <w:p w:rsidR="004A3D52" w:rsidRPr="006552E9" w:rsidRDefault="004A3D52" w:rsidP="006E2669">
      <w:pPr>
        <w:pStyle w:val="Caption"/>
        <w:keepNext/>
      </w:pPr>
    </w:p>
    <w:p w:rsidR="003027E3" w:rsidRPr="006552E9" w:rsidRDefault="003027E3" w:rsidP="006E2669">
      <w:pPr>
        <w:pStyle w:val="Caption"/>
        <w:keepNext/>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1</w:t>
      </w:r>
      <w:r w:rsidR="006E1B57" w:rsidRPr="006552E9">
        <w:fldChar w:fldCharType="end"/>
      </w:r>
      <w:r w:rsidRPr="006552E9">
        <w:t>: Proof of performance, Outcome 1, 2009/10 to 2012/13</w:t>
      </w:r>
      <w:r w:rsidR="00AF58B3" w:rsidRPr="006552E9">
        <w:rPr>
          <w:rStyle w:val="FootnoteReference"/>
        </w:rPr>
        <w:footnoteReference w:id="13"/>
      </w:r>
    </w:p>
    <w:tbl>
      <w:tblPr>
        <w:tblW w:w="9540" w:type="dxa"/>
        <w:tblCellMar>
          <w:top w:w="28" w:type="dxa"/>
          <w:left w:w="57" w:type="dxa"/>
          <w:bottom w:w="28" w:type="dxa"/>
          <w:right w:w="57" w:type="dxa"/>
        </w:tblCellMar>
        <w:tblLook w:val="04A0" w:firstRow="1" w:lastRow="0" w:firstColumn="1" w:lastColumn="0" w:noHBand="0" w:noVBand="1"/>
      </w:tblPr>
      <w:tblGrid>
        <w:gridCol w:w="1240"/>
        <w:gridCol w:w="1340"/>
        <w:gridCol w:w="920"/>
        <w:gridCol w:w="920"/>
        <w:gridCol w:w="920"/>
        <w:gridCol w:w="920"/>
        <w:gridCol w:w="920"/>
        <w:gridCol w:w="700"/>
        <w:gridCol w:w="1660"/>
      </w:tblGrid>
      <w:tr w:rsidR="004D458B" w:rsidRPr="004D458B" w:rsidTr="00B61A79">
        <w:trPr>
          <w:trHeight w:val="255"/>
          <w:tblHeader/>
        </w:trPr>
        <w:tc>
          <w:tcPr>
            <w:tcW w:w="2580" w:type="dxa"/>
            <w:gridSpan w:val="2"/>
            <w:vMerge w:val="restart"/>
            <w:tcBorders>
              <w:top w:val="single" w:sz="4" w:space="0" w:color="auto"/>
              <w:left w:val="single" w:sz="4" w:space="0" w:color="auto"/>
              <w:bottom w:val="single" w:sz="4" w:space="0" w:color="000000"/>
              <w:right w:val="single" w:sz="4" w:space="0" w:color="000000"/>
            </w:tcBorders>
            <w:shd w:val="clear" w:color="000000" w:fill="B8CCE4"/>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2760" w:type="dxa"/>
            <w:gridSpan w:val="3"/>
            <w:tcBorders>
              <w:top w:val="single" w:sz="4" w:space="0" w:color="auto"/>
              <w:left w:val="nil"/>
              <w:bottom w:val="single" w:sz="4" w:space="0" w:color="auto"/>
              <w:right w:val="single" w:sz="4" w:space="0" w:color="000000"/>
            </w:tcBorders>
            <w:shd w:val="clear" w:color="000000" w:fill="B8CCE4"/>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Past years</w:t>
            </w:r>
          </w:p>
        </w:tc>
        <w:tc>
          <w:tcPr>
            <w:tcW w:w="4200" w:type="dxa"/>
            <w:gridSpan w:val="4"/>
            <w:tcBorders>
              <w:top w:val="single" w:sz="4" w:space="0" w:color="auto"/>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Current year</w:t>
            </w:r>
          </w:p>
        </w:tc>
      </w:tr>
      <w:tr w:rsidR="004D458B" w:rsidRPr="004D458B" w:rsidTr="00B61A79">
        <w:trPr>
          <w:trHeight w:val="810"/>
          <w:tblHead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4D458B" w:rsidRPr="004D458B" w:rsidRDefault="004D458B" w:rsidP="004D458B">
            <w:pPr>
              <w:spacing w:before="0"/>
              <w:rPr>
                <w:rFonts w:ascii="Arial Narrow" w:hAnsi="Arial Narrow"/>
                <w:b/>
                <w:bCs/>
                <w:color w:val="000000"/>
                <w:sz w:val="18"/>
                <w:szCs w:val="18"/>
              </w:rPr>
            </w:pPr>
          </w:p>
        </w:tc>
        <w:tc>
          <w:tcPr>
            <w:tcW w:w="92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2009/10 Actual</w:t>
            </w:r>
          </w:p>
        </w:tc>
        <w:tc>
          <w:tcPr>
            <w:tcW w:w="92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2010/11 Actual</w:t>
            </w:r>
          </w:p>
        </w:tc>
        <w:tc>
          <w:tcPr>
            <w:tcW w:w="920" w:type="dxa"/>
            <w:tcBorders>
              <w:top w:val="nil"/>
              <w:left w:val="nil"/>
              <w:bottom w:val="single" w:sz="4" w:space="0" w:color="auto"/>
              <w:right w:val="nil"/>
            </w:tcBorders>
            <w:shd w:val="clear" w:color="000000" w:fill="B8CCE4"/>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xml:space="preserve">2011/12 Actual </w:t>
            </w:r>
          </w:p>
        </w:tc>
        <w:tc>
          <w:tcPr>
            <w:tcW w:w="920"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2012/13 Forecast</w:t>
            </w:r>
          </w:p>
        </w:tc>
        <w:tc>
          <w:tcPr>
            <w:tcW w:w="920" w:type="dxa"/>
            <w:tcBorders>
              <w:top w:val="nil"/>
              <w:left w:val="nil"/>
              <w:bottom w:val="single" w:sz="4" w:space="0" w:color="auto"/>
              <w:right w:val="nil"/>
            </w:tcBorders>
            <w:shd w:val="clear" w:color="000000" w:fill="B8CCE4"/>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xml:space="preserve">2012/13 Actual </w:t>
            </w:r>
          </w:p>
        </w:tc>
        <w:tc>
          <w:tcPr>
            <w:tcW w:w="700" w:type="dxa"/>
            <w:tcBorders>
              <w:top w:val="nil"/>
              <w:left w:val="single" w:sz="4" w:space="0" w:color="auto"/>
              <w:bottom w:val="nil"/>
              <w:right w:val="single" w:sz="4" w:space="0" w:color="auto"/>
            </w:tcBorders>
            <w:shd w:val="clear" w:color="000000" w:fill="B8CCE4"/>
            <w:tcMar>
              <w:top w:w="15" w:type="dxa"/>
              <w:left w:w="15" w:type="dxa"/>
              <w:bottom w:w="0" w:type="dxa"/>
              <w:right w:w="15" w:type="dxa"/>
            </w:tcMar>
            <w:vAlign w:val="center"/>
            <w:hideMark/>
          </w:tcPr>
          <w:p w:rsidR="004D458B" w:rsidRPr="004D458B" w:rsidRDefault="004D458B" w:rsidP="004E4FB5">
            <w:pPr>
              <w:spacing w:before="0"/>
              <w:jc w:val="center"/>
              <w:rPr>
                <w:rFonts w:ascii="Arial Narrow" w:hAnsi="Arial Narrow"/>
                <w:b/>
                <w:bCs/>
                <w:color w:val="000000"/>
                <w:sz w:val="18"/>
                <w:szCs w:val="18"/>
              </w:rPr>
            </w:pPr>
            <w:r w:rsidRPr="004D458B">
              <w:rPr>
                <w:rFonts w:ascii="Arial Narrow" w:hAnsi="Arial Narrow"/>
                <w:b/>
                <w:bCs/>
                <w:color w:val="000000"/>
                <w:sz w:val="18"/>
                <w:szCs w:val="18"/>
              </w:rPr>
              <w:t xml:space="preserve">Variance to </w:t>
            </w:r>
            <w:r w:rsidR="004E4FB5">
              <w:rPr>
                <w:rFonts w:ascii="Arial Narrow" w:hAnsi="Arial Narrow"/>
                <w:b/>
                <w:bCs/>
                <w:color w:val="000000"/>
                <w:sz w:val="18"/>
                <w:szCs w:val="18"/>
              </w:rPr>
              <w:t>f</w:t>
            </w:r>
            <w:r w:rsidRPr="004D458B">
              <w:rPr>
                <w:rFonts w:ascii="Arial Narrow" w:hAnsi="Arial Narrow"/>
                <w:b/>
                <w:bCs/>
                <w:color w:val="000000"/>
                <w:sz w:val="18"/>
                <w:szCs w:val="18"/>
              </w:rPr>
              <w:t xml:space="preserve">orecast </w:t>
            </w:r>
            <w:r w:rsidRPr="004D458B">
              <w:rPr>
                <w:rFonts w:ascii="Arial Narrow" w:hAnsi="Arial Narrow"/>
                <w:b/>
                <w:bCs/>
                <w:color w:val="000000"/>
                <w:sz w:val="18"/>
                <w:szCs w:val="18"/>
              </w:rPr>
              <w:br/>
              <w:t>(+/</w:t>
            </w:r>
            <w:r w:rsidR="004E4FB5">
              <w:rPr>
                <w:rFonts w:ascii="Arial Narrow" w:hAnsi="Arial Narrow"/>
                <w:b/>
                <w:bCs/>
                <w:color w:val="000000"/>
                <w:sz w:val="18"/>
                <w:szCs w:val="18"/>
              </w:rPr>
              <w:t>–</w:t>
            </w:r>
            <w:r w:rsidRPr="004D458B">
              <w:rPr>
                <w:rFonts w:ascii="Arial Narrow" w:hAnsi="Arial Narrow"/>
                <w:b/>
                <w:bCs/>
                <w:color w:val="000000"/>
                <w:sz w:val="18"/>
                <w:szCs w:val="18"/>
              </w:rPr>
              <w:t>%)</w:t>
            </w:r>
          </w:p>
        </w:tc>
        <w:tc>
          <w:tcPr>
            <w:tcW w:w="166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4D458B" w:rsidRPr="004D458B" w:rsidRDefault="004D458B" w:rsidP="004D458B">
            <w:pPr>
              <w:spacing w:before="0"/>
              <w:rPr>
                <w:rFonts w:ascii="Arial Narrow" w:hAnsi="Arial Narrow"/>
                <w:b/>
                <w:bCs/>
                <w:color w:val="000000"/>
                <w:sz w:val="18"/>
                <w:szCs w:val="18"/>
              </w:rPr>
            </w:pPr>
            <w:r w:rsidRPr="004D458B">
              <w:rPr>
                <w:rFonts w:ascii="Arial Narrow" w:hAnsi="Arial Narrow"/>
                <w:b/>
                <w:bCs/>
                <w:color w:val="000000"/>
                <w:sz w:val="18"/>
                <w:szCs w:val="18"/>
              </w:rPr>
              <w:t>Notes</w:t>
            </w:r>
          </w:p>
        </w:tc>
      </w:tr>
      <w:tr w:rsidR="004D458B" w:rsidRPr="004D458B" w:rsidTr="00B61A79">
        <w:trPr>
          <w:trHeight w:val="255"/>
        </w:trPr>
        <w:tc>
          <w:tcPr>
            <w:tcW w:w="0" w:type="auto"/>
            <w:tcBorders>
              <w:top w:val="nil"/>
              <w:left w:val="single" w:sz="4" w:space="0" w:color="auto"/>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b/>
                <w:bCs/>
                <w:color w:val="000000"/>
                <w:sz w:val="18"/>
                <w:szCs w:val="18"/>
              </w:rPr>
            </w:pPr>
            <w:r w:rsidRPr="004D458B">
              <w:rPr>
                <w:rFonts w:ascii="Arial Narrow" w:hAnsi="Arial Narrow"/>
                <w:b/>
                <w:bCs/>
                <w:color w:val="000000"/>
                <w:sz w:val="18"/>
                <w:szCs w:val="18"/>
              </w:rPr>
              <w:t>Investment</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92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92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92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92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700" w:type="dxa"/>
            <w:tcBorders>
              <w:top w:val="single" w:sz="4" w:space="0" w:color="auto"/>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c>
          <w:tcPr>
            <w:tcW w:w="166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 </w:t>
            </w:r>
          </w:p>
        </w:tc>
      </w:tr>
      <w:tr w:rsidR="004D458B" w:rsidRPr="004D458B" w:rsidTr="00B61A79">
        <w:trPr>
          <w:trHeight w:val="2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Total investment</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4D458B">
              <w:rPr>
                <w:rFonts w:ascii="Arial Narrow" w:hAnsi="Arial Narrow"/>
                <w:color w:val="000000"/>
                <w:sz w:val="18"/>
                <w:szCs w:val="18"/>
              </w:rPr>
              <w:t xml:space="preserve"> all programmes</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D458B" w:rsidRPr="004D458B" w:rsidRDefault="004D458B" w:rsidP="00D527A0">
            <w:pPr>
              <w:spacing w:before="0"/>
              <w:jc w:val="center"/>
              <w:rPr>
                <w:rFonts w:ascii="Arial Narrow" w:hAnsi="Arial Narrow"/>
                <w:color w:val="000000"/>
                <w:sz w:val="18"/>
                <w:szCs w:val="18"/>
              </w:rPr>
            </w:pPr>
            <w:r w:rsidRPr="004D458B">
              <w:rPr>
                <w:rFonts w:ascii="Arial Narrow" w:hAnsi="Arial Narrow"/>
                <w:color w:val="000000"/>
                <w:sz w:val="18"/>
                <w:szCs w:val="18"/>
              </w:rPr>
              <w:t>$ 5,294,153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D458B" w:rsidRPr="004D458B" w:rsidRDefault="004D458B" w:rsidP="00D527A0">
            <w:pPr>
              <w:spacing w:before="0"/>
              <w:jc w:val="center"/>
              <w:rPr>
                <w:rFonts w:ascii="Arial Narrow" w:hAnsi="Arial Narrow"/>
                <w:color w:val="000000"/>
                <w:sz w:val="18"/>
                <w:szCs w:val="18"/>
              </w:rPr>
            </w:pPr>
            <w:r w:rsidRPr="004D458B">
              <w:rPr>
                <w:rFonts w:ascii="Arial Narrow" w:hAnsi="Arial Narrow"/>
                <w:color w:val="000000"/>
                <w:sz w:val="18"/>
                <w:szCs w:val="18"/>
              </w:rPr>
              <w:t>$ 5,208,298</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D458B" w:rsidRPr="004D458B" w:rsidRDefault="004D458B" w:rsidP="00D527A0">
            <w:pPr>
              <w:spacing w:before="0"/>
              <w:jc w:val="center"/>
              <w:rPr>
                <w:rFonts w:ascii="Arial Narrow" w:hAnsi="Arial Narrow"/>
                <w:color w:val="000000"/>
                <w:sz w:val="18"/>
                <w:szCs w:val="18"/>
              </w:rPr>
            </w:pPr>
            <w:r w:rsidRPr="004D458B">
              <w:rPr>
                <w:rFonts w:ascii="Arial Narrow" w:hAnsi="Arial Narrow"/>
                <w:color w:val="000000"/>
                <w:sz w:val="18"/>
                <w:szCs w:val="18"/>
              </w:rPr>
              <w:t>$ 5,749,842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4D458B" w:rsidRPr="004D458B" w:rsidRDefault="004D458B" w:rsidP="00D527A0">
            <w:pPr>
              <w:spacing w:before="0"/>
              <w:jc w:val="center"/>
              <w:rPr>
                <w:rFonts w:ascii="Arial Narrow" w:hAnsi="Arial Narrow"/>
                <w:color w:val="000000"/>
                <w:sz w:val="18"/>
                <w:szCs w:val="18"/>
              </w:rPr>
            </w:pPr>
            <w:r w:rsidRPr="004D458B">
              <w:rPr>
                <w:rFonts w:ascii="Arial Narrow" w:hAnsi="Arial Narrow"/>
                <w:color w:val="000000"/>
                <w:sz w:val="18"/>
                <w:szCs w:val="18"/>
              </w:rPr>
              <w:t>$ 7,383,616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D458B" w:rsidRPr="004D458B" w:rsidRDefault="004D458B" w:rsidP="00D527A0">
            <w:pPr>
              <w:spacing w:before="0"/>
              <w:jc w:val="center"/>
              <w:rPr>
                <w:rFonts w:ascii="Arial Narrow" w:hAnsi="Arial Narrow"/>
                <w:color w:val="000000"/>
                <w:sz w:val="18"/>
                <w:szCs w:val="18"/>
              </w:rPr>
            </w:pPr>
            <w:r w:rsidRPr="004D458B">
              <w:rPr>
                <w:rFonts w:ascii="Arial Narrow" w:hAnsi="Arial Narrow"/>
                <w:color w:val="000000"/>
                <w:sz w:val="18"/>
                <w:szCs w:val="18"/>
              </w:rPr>
              <w:t>$ 5,753,457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 (22%)</w:t>
            </w:r>
          </w:p>
        </w:tc>
        <w:tc>
          <w:tcPr>
            <w:tcW w:w="0" w:type="auto"/>
            <w:tcBorders>
              <w:top w:val="nil"/>
              <w:left w:val="nil"/>
              <w:bottom w:val="nil"/>
              <w:right w:val="single" w:sz="4" w:space="0" w:color="auto"/>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r>
      <w:tr w:rsidR="004D458B" w:rsidRPr="004D458B" w:rsidTr="00B61A79">
        <w:trPr>
          <w:trHeight w:val="255"/>
        </w:trPr>
        <w:tc>
          <w:tcPr>
            <w:tcW w:w="0" w:type="auto"/>
            <w:tcBorders>
              <w:top w:val="nil"/>
              <w:left w:val="single" w:sz="4" w:space="0" w:color="auto"/>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b/>
                <w:bCs/>
                <w:color w:val="000000"/>
                <w:sz w:val="18"/>
                <w:szCs w:val="18"/>
              </w:rPr>
            </w:pPr>
            <w:r w:rsidRPr="004D458B">
              <w:rPr>
                <w:rFonts w:ascii="Arial Narrow" w:hAnsi="Arial Narrow"/>
                <w:b/>
                <w:bCs/>
                <w:color w:val="000000"/>
                <w:sz w:val="18"/>
                <w:szCs w:val="18"/>
              </w:rPr>
              <w:t>Impact</w:t>
            </w:r>
          </w:p>
        </w:tc>
        <w:tc>
          <w:tcPr>
            <w:tcW w:w="134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Measure</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r>
      <w:tr w:rsidR="004D458B" w:rsidRPr="004D458B" w:rsidTr="00B61A79">
        <w:tc>
          <w:tcPr>
            <w:tcW w:w="12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i/>
                <w:iCs/>
                <w:color w:val="000000"/>
                <w:sz w:val="18"/>
                <w:szCs w:val="18"/>
              </w:rPr>
            </w:pPr>
            <w:r w:rsidRPr="004D458B">
              <w:rPr>
                <w:rFonts w:ascii="Arial Narrow" w:hAnsi="Arial Narrow"/>
                <w:i/>
                <w:iCs/>
                <w:color w:val="000000"/>
                <w:sz w:val="18"/>
                <w:szCs w:val="18"/>
              </w:rPr>
              <w:t>Māori customary arts</w:t>
            </w:r>
          </w:p>
        </w:tc>
        <w:tc>
          <w:tcPr>
            <w:tcW w:w="13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color w:val="000000"/>
                <w:sz w:val="18"/>
                <w:szCs w:val="18"/>
              </w:rPr>
            </w:pPr>
            <w:r w:rsidRPr="004D458B">
              <w:rPr>
                <w:rFonts w:ascii="Arial Narrow" w:hAnsi="Arial Narrow"/>
                <w:color w:val="000000"/>
                <w:sz w:val="18"/>
                <w:szCs w:val="18"/>
              </w:rPr>
              <w:t xml:space="preserve">Number of Māori customary arts projects/Toi Ake projects successfully completed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38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28</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35 projects</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33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 (6%)</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E4FB5">
            <w:pPr>
              <w:spacing w:before="0"/>
              <w:jc w:val="center"/>
              <w:rPr>
                <w:rFonts w:ascii="Arial Narrow" w:hAnsi="Arial Narrow"/>
                <w:color w:val="000000"/>
                <w:sz w:val="18"/>
                <w:szCs w:val="18"/>
              </w:rPr>
            </w:pPr>
            <w:r w:rsidRPr="004D458B">
              <w:rPr>
                <w:rFonts w:ascii="Arial Narrow" w:hAnsi="Arial Narrow"/>
                <w:color w:val="000000"/>
                <w:sz w:val="18"/>
                <w:szCs w:val="18"/>
              </w:rPr>
              <w:t>Forecast not met.</w:t>
            </w:r>
            <w:r w:rsidRPr="004D458B">
              <w:rPr>
                <w:rFonts w:ascii="Arial Narrow" w:hAnsi="Arial Narrow"/>
                <w:color w:val="000000"/>
                <w:sz w:val="18"/>
                <w:szCs w:val="18"/>
              </w:rPr>
              <w:br/>
              <w:t>But</w:t>
            </w:r>
            <w:r w:rsidR="004E4FB5">
              <w:rPr>
                <w:rFonts w:ascii="Arial Narrow" w:hAnsi="Arial Narrow"/>
                <w:color w:val="000000"/>
                <w:sz w:val="18"/>
                <w:szCs w:val="18"/>
              </w:rPr>
              <w:t xml:space="preserve"> a</w:t>
            </w:r>
            <w:r w:rsidRPr="004D458B">
              <w:rPr>
                <w:rFonts w:ascii="Arial Narrow" w:hAnsi="Arial Narrow"/>
                <w:color w:val="000000"/>
                <w:sz w:val="18"/>
                <w:szCs w:val="18"/>
              </w:rPr>
              <w:t xml:space="preserve"> </w:t>
            </w:r>
            <w:r w:rsidR="004E4FB5">
              <w:rPr>
                <w:rFonts w:ascii="Arial Narrow" w:hAnsi="Arial Narrow"/>
                <w:color w:val="000000"/>
                <w:sz w:val="18"/>
                <w:szCs w:val="18"/>
              </w:rPr>
              <w:t>two-</w:t>
            </w:r>
            <w:r w:rsidRPr="004D458B">
              <w:rPr>
                <w:rFonts w:ascii="Arial Narrow" w:hAnsi="Arial Narrow"/>
                <w:color w:val="000000"/>
                <w:sz w:val="18"/>
                <w:szCs w:val="18"/>
              </w:rPr>
              <w:t>project variance not deemed significant</w:t>
            </w:r>
          </w:p>
        </w:tc>
      </w:tr>
      <w:tr w:rsidR="004D458B" w:rsidRPr="004D458B" w:rsidTr="00B61A79">
        <w:trPr>
          <w:trHeight w:val="810"/>
        </w:trPr>
        <w:tc>
          <w:tcPr>
            <w:tcW w:w="0" w:type="auto"/>
            <w:vMerge/>
            <w:tcBorders>
              <w:top w:val="nil"/>
              <w:left w:val="single" w:sz="4" w:space="0" w:color="auto"/>
              <w:bottom w:val="single" w:sz="4" w:space="0" w:color="000000"/>
              <w:right w:val="single" w:sz="4" w:space="0" w:color="auto"/>
            </w:tcBorders>
            <w:vAlign w:val="center"/>
            <w:hideMark/>
          </w:tcPr>
          <w:p w:rsidR="004D458B" w:rsidRPr="004D458B" w:rsidRDefault="004D458B" w:rsidP="004D458B">
            <w:pPr>
              <w:spacing w:before="0"/>
              <w:jc w:val="left"/>
              <w:rPr>
                <w:rFonts w:ascii="Arial Narrow" w:hAnsi="Arial Narrow"/>
                <w:i/>
                <w:i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4D458B" w:rsidRPr="004D458B" w:rsidRDefault="004D458B" w:rsidP="004D458B">
            <w:pPr>
              <w:spacing w:before="0"/>
              <w:jc w:val="left"/>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New</w:t>
            </w:r>
            <w:r w:rsidR="00D527A0">
              <w:rPr>
                <w:rFonts w:ascii="Arial Narrow" w:hAnsi="Arial Narrow"/>
                <w:color w:val="000000"/>
                <w:sz w:val="18"/>
                <w:szCs w:val="18"/>
              </w:rPr>
              <w:t xml:space="preserve"> </w:t>
            </w:r>
            <w:r w:rsidRPr="004D458B">
              <w:rPr>
                <w:rFonts w:ascii="Arial Narrow" w:hAnsi="Arial Narrow"/>
                <w:color w:val="000000"/>
                <w:sz w:val="18"/>
                <w:szCs w:val="18"/>
              </w:rPr>
              <w:t>measure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100%</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90% met or exceeded expectations</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100% </w:t>
            </w:r>
            <w:r w:rsidRPr="004D458B">
              <w:rPr>
                <w:rFonts w:ascii="Arial Narrow" w:hAnsi="Arial Narrow"/>
                <w:color w:val="000000"/>
                <w:sz w:val="18"/>
                <w:szCs w:val="18"/>
              </w:rPr>
              <w:br/>
              <w:t>(of the 88% that were evaluated)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Exceeded forecast</w:t>
            </w:r>
          </w:p>
        </w:tc>
      </w:tr>
      <w:tr w:rsidR="004D458B" w:rsidRPr="004D458B" w:rsidTr="00B61A79">
        <w:tc>
          <w:tcPr>
            <w:tcW w:w="1240" w:type="dxa"/>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i/>
                <w:iCs/>
                <w:color w:val="000000"/>
                <w:sz w:val="18"/>
                <w:szCs w:val="18"/>
              </w:rPr>
            </w:pPr>
            <w:r w:rsidRPr="004D458B">
              <w:rPr>
                <w:rFonts w:ascii="Arial Narrow" w:hAnsi="Arial Narrow"/>
                <w:i/>
                <w:iCs/>
                <w:color w:val="000000"/>
                <w:sz w:val="18"/>
                <w:szCs w:val="18"/>
              </w:rPr>
              <w:t>Pacific heritage arts</w:t>
            </w:r>
          </w:p>
        </w:tc>
        <w:tc>
          <w:tcPr>
            <w:tcW w:w="1340" w:type="dxa"/>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color w:val="000000"/>
                <w:sz w:val="18"/>
                <w:szCs w:val="18"/>
              </w:rPr>
            </w:pPr>
            <w:r w:rsidRPr="004D458B">
              <w:rPr>
                <w:rFonts w:ascii="Arial Narrow" w:hAnsi="Arial Narrow"/>
                <w:color w:val="000000"/>
                <w:sz w:val="18"/>
                <w:szCs w:val="18"/>
              </w:rPr>
              <w:t xml:space="preserve">Number of Pacific heritage arts projects successfully completed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20</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25 projects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 (24%)</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E4FB5">
            <w:pPr>
              <w:spacing w:before="0"/>
              <w:jc w:val="center"/>
              <w:rPr>
                <w:rFonts w:ascii="Arial Narrow" w:hAnsi="Arial Narrow"/>
                <w:color w:val="000000"/>
                <w:sz w:val="18"/>
                <w:szCs w:val="18"/>
              </w:rPr>
            </w:pPr>
            <w:r w:rsidRPr="004D458B">
              <w:rPr>
                <w:rFonts w:ascii="Arial Narrow" w:hAnsi="Arial Narrow"/>
                <w:color w:val="000000"/>
                <w:sz w:val="18"/>
                <w:szCs w:val="18"/>
              </w:rPr>
              <w:t>Forecast not met.</w:t>
            </w:r>
            <w:r w:rsidRPr="004D458B">
              <w:rPr>
                <w:rFonts w:ascii="Arial Narrow" w:hAnsi="Arial Narrow"/>
                <w:color w:val="000000"/>
                <w:sz w:val="18"/>
                <w:szCs w:val="18"/>
              </w:rPr>
              <w:br/>
              <w:t>The number of Pacific heritage arts projects fund</w:t>
            </w:r>
            <w:r w:rsidR="004E4FB5">
              <w:rPr>
                <w:rFonts w:ascii="Arial Narrow" w:hAnsi="Arial Narrow"/>
                <w:color w:val="000000"/>
                <w:sz w:val="18"/>
                <w:szCs w:val="18"/>
              </w:rPr>
              <w:t>ed</w:t>
            </w:r>
            <w:r w:rsidRPr="004D458B">
              <w:rPr>
                <w:rFonts w:ascii="Arial Narrow" w:hAnsi="Arial Narrow"/>
                <w:color w:val="000000"/>
                <w:sz w:val="18"/>
                <w:szCs w:val="18"/>
              </w:rPr>
              <w:t xml:space="preserve"> has declined over </w:t>
            </w:r>
            <w:r w:rsidR="004E4FB5">
              <w:rPr>
                <w:rFonts w:ascii="Arial Narrow" w:hAnsi="Arial Narrow"/>
                <w:color w:val="000000"/>
                <w:sz w:val="18"/>
                <w:szCs w:val="18"/>
              </w:rPr>
              <w:t>three</w:t>
            </w:r>
            <w:r w:rsidRPr="004D458B">
              <w:rPr>
                <w:rFonts w:ascii="Arial Narrow" w:hAnsi="Arial Narrow"/>
                <w:color w:val="000000"/>
                <w:sz w:val="18"/>
                <w:szCs w:val="18"/>
              </w:rPr>
              <w:t xml:space="preserve"> years and the forecast for 2013/14 has been reduced</w:t>
            </w:r>
          </w:p>
        </w:tc>
      </w:tr>
      <w:tr w:rsidR="004D458B" w:rsidRPr="004D458B" w:rsidTr="00B61A79">
        <w:trPr>
          <w:cantSplit/>
        </w:trPr>
        <w:tc>
          <w:tcPr>
            <w:tcW w:w="0" w:type="auto"/>
            <w:tcBorders>
              <w:top w:val="nil"/>
              <w:left w:val="single" w:sz="4" w:space="0" w:color="auto"/>
              <w:bottom w:val="single" w:sz="4" w:space="0" w:color="000000"/>
              <w:right w:val="single" w:sz="4" w:space="0" w:color="auto"/>
            </w:tcBorders>
            <w:shd w:val="clear" w:color="000000" w:fill="FFFFFF"/>
            <w:vAlign w:val="center"/>
            <w:hideMark/>
          </w:tcPr>
          <w:p w:rsidR="004D458B" w:rsidRPr="004D458B" w:rsidRDefault="004D458B" w:rsidP="004D458B">
            <w:pPr>
              <w:spacing w:before="0"/>
              <w:rPr>
                <w:rFonts w:ascii="Arial Narrow" w:hAnsi="Arial Narrow"/>
                <w:i/>
                <w:iCs/>
                <w:color w:val="000000"/>
                <w:sz w:val="18"/>
                <w:szCs w:val="18"/>
              </w:rPr>
            </w:pP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rsidR="004D458B" w:rsidRPr="004D458B" w:rsidRDefault="004D458B" w:rsidP="004D458B">
            <w:pPr>
              <w:spacing w:before="0"/>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New</w:t>
            </w:r>
            <w:r w:rsidR="00D527A0">
              <w:rPr>
                <w:rFonts w:ascii="Arial Narrow" w:hAnsi="Arial Narrow"/>
                <w:color w:val="000000"/>
                <w:sz w:val="18"/>
                <w:szCs w:val="18"/>
              </w:rPr>
              <w:t xml:space="preserve"> </w:t>
            </w:r>
            <w:r w:rsidRPr="004D458B">
              <w:rPr>
                <w:rFonts w:ascii="Arial Narrow" w:hAnsi="Arial Narrow"/>
                <w:color w:val="000000"/>
                <w:sz w:val="18"/>
                <w:szCs w:val="18"/>
              </w:rPr>
              <w:t>measure</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94% (of the 85% that were evaluated)</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90% met or exceeded expectations</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93% </w:t>
            </w:r>
            <w:r w:rsidRPr="004D458B">
              <w:rPr>
                <w:rFonts w:ascii="Arial Narrow" w:hAnsi="Arial Narrow"/>
                <w:color w:val="000000"/>
                <w:sz w:val="18"/>
                <w:szCs w:val="18"/>
              </w:rPr>
              <w:br/>
              <w:t>(of the 74% that were evaluated)</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Met forecast</w:t>
            </w:r>
          </w:p>
        </w:tc>
      </w:tr>
      <w:tr w:rsidR="004D458B" w:rsidRPr="004D458B" w:rsidTr="00B61A79">
        <w:tc>
          <w:tcPr>
            <w:tcW w:w="12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i/>
                <w:iCs/>
                <w:color w:val="000000"/>
                <w:sz w:val="18"/>
                <w:szCs w:val="18"/>
              </w:rPr>
            </w:pPr>
            <w:r w:rsidRPr="004D458B">
              <w:rPr>
                <w:rFonts w:ascii="Arial Narrow" w:hAnsi="Arial Narrow"/>
                <w:i/>
                <w:iCs/>
                <w:color w:val="000000"/>
                <w:sz w:val="18"/>
                <w:szCs w:val="18"/>
              </w:rPr>
              <w:t>Community arts participation</w:t>
            </w:r>
          </w:p>
        </w:tc>
        <w:tc>
          <w:tcPr>
            <w:tcW w:w="134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color w:val="000000"/>
                <w:sz w:val="18"/>
                <w:szCs w:val="18"/>
              </w:rPr>
            </w:pPr>
            <w:r w:rsidRPr="004D458B">
              <w:rPr>
                <w:rFonts w:ascii="Arial Narrow" w:hAnsi="Arial Narrow"/>
                <w:color w:val="000000"/>
                <w:sz w:val="18"/>
                <w:szCs w:val="18"/>
              </w:rPr>
              <w:t xml:space="preserve">Number of community arts projects successfully completed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21</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16 projects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 (31%)</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Forecast not met.</w:t>
            </w:r>
            <w:r w:rsidRPr="004D458B">
              <w:rPr>
                <w:rFonts w:ascii="Arial Narrow" w:hAnsi="Arial Narrow"/>
                <w:color w:val="000000"/>
                <w:sz w:val="18"/>
                <w:szCs w:val="18"/>
              </w:rPr>
              <w:br/>
              <w:t>It is anticipated that the 2013/14 forecast will be achieved as there are a number of projects awaiting completion</w:t>
            </w:r>
          </w:p>
        </w:tc>
      </w:tr>
      <w:tr w:rsidR="004D458B" w:rsidRPr="004D458B" w:rsidTr="00B61A79">
        <w:tc>
          <w:tcPr>
            <w:tcW w:w="0" w:type="auto"/>
            <w:vMerge/>
            <w:tcBorders>
              <w:top w:val="nil"/>
              <w:left w:val="single" w:sz="4" w:space="0" w:color="auto"/>
              <w:bottom w:val="single" w:sz="4" w:space="0" w:color="000000"/>
              <w:right w:val="single" w:sz="4" w:space="0" w:color="auto"/>
            </w:tcBorders>
            <w:vAlign w:val="center"/>
            <w:hideMark/>
          </w:tcPr>
          <w:p w:rsidR="004D458B" w:rsidRPr="004D458B" w:rsidRDefault="004D458B" w:rsidP="004D458B">
            <w:pPr>
              <w:spacing w:before="0"/>
              <w:jc w:val="left"/>
              <w:rPr>
                <w:rFonts w:ascii="Arial Narrow" w:hAnsi="Arial Narrow"/>
                <w:i/>
                <w:i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4D458B" w:rsidRPr="004D458B" w:rsidRDefault="004D458B" w:rsidP="004D458B">
            <w:pPr>
              <w:spacing w:before="0"/>
              <w:jc w:val="left"/>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New</w:t>
            </w:r>
            <w:r w:rsidR="00D527A0">
              <w:rPr>
                <w:rFonts w:ascii="Arial Narrow" w:hAnsi="Arial Narrow"/>
                <w:color w:val="000000"/>
                <w:sz w:val="18"/>
                <w:szCs w:val="18"/>
              </w:rPr>
              <w:t xml:space="preserve"> </w:t>
            </w:r>
            <w:r w:rsidRPr="004D458B">
              <w:rPr>
                <w:rFonts w:ascii="Arial Narrow" w:hAnsi="Arial Narrow"/>
                <w:color w:val="000000"/>
                <w:sz w:val="18"/>
                <w:szCs w:val="18"/>
              </w:rPr>
              <w:t>measure</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95%</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90% met or exceeded expectations</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100% </w:t>
            </w:r>
            <w:r w:rsidRPr="004D458B">
              <w:rPr>
                <w:rFonts w:ascii="Arial Narrow" w:hAnsi="Arial Narrow"/>
                <w:color w:val="000000"/>
                <w:sz w:val="18"/>
                <w:szCs w:val="18"/>
              </w:rPr>
              <w:br/>
              <w:t>(of the 91% that were evaluated)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Exceeded forecast</w:t>
            </w:r>
          </w:p>
        </w:tc>
      </w:tr>
      <w:tr w:rsidR="004D458B" w:rsidRPr="004D458B" w:rsidTr="00B61A79">
        <w:tc>
          <w:tcPr>
            <w:tcW w:w="0" w:type="auto"/>
            <w:vMerge/>
            <w:tcBorders>
              <w:top w:val="nil"/>
              <w:left w:val="single" w:sz="4" w:space="0" w:color="auto"/>
              <w:bottom w:val="single" w:sz="4" w:space="0" w:color="000000"/>
              <w:right w:val="single" w:sz="4" w:space="0" w:color="auto"/>
            </w:tcBorders>
            <w:vAlign w:val="center"/>
            <w:hideMark/>
          </w:tcPr>
          <w:p w:rsidR="004D458B" w:rsidRPr="004D458B" w:rsidRDefault="004D458B" w:rsidP="004D458B">
            <w:pPr>
              <w:spacing w:before="0"/>
              <w:jc w:val="left"/>
              <w:rPr>
                <w:rFonts w:ascii="Arial Narrow" w:hAnsi="Arial Narrow"/>
                <w:i/>
                <w:iCs/>
                <w:color w:val="000000"/>
                <w:sz w:val="18"/>
                <w:szCs w:val="18"/>
              </w:rPr>
            </w:pPr>
          </w:p>
        </w:tc>
        <w:tc>
          <w:tcPr>
            <w:tcW w:w="13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color w:val="000000"/>
                <w:sz w:val="18"/>
                <w:szCs w:val="18"/>
              </w:rPr>
            </w:pPr>
            <w:r w:rsidRPr="004D458B">
              <w:rPr>
                <w:rFonts w:ascii="Arial Narrow" w:hAnsi="Arial Narrow"/>
                <w:color w:val="000000"/>
                <w:sz w:val="18"/>
                <w:szCs w:val="18"/>
              </w:rPr>
              <w:t>Number of Creative Communities Scheme grants awarded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2,418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1,725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1,839</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1,800 grants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1,777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 xml:space="preserve"> (1%)</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Forecast met</w:t>
            </w:r>
          </w:p>
        </w:tc>
      </w:tr>
      <w:tr w:rsidR="004D458B" w:rsidRPr="004D458B" w:rsidTr="00B61A79">
        <w:trPr>
          <w:trHeight w:val="255"/>
        </w:trPr>
        <w:tc>
          <w:tcPr>
            <w:tcW w:w="0" w:type="auto"/>
            <w:tcBorders>
              <w:top w:val="nil"/>
              <w:left w:val="single" w:sz="4" w:space="0" w:color="auto"/>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b/>
                <w:bCs/>
                <w:color w:val="000000"/>
                <w:sz w:val="18"/>
                <w:szCs w:val="18"/>
              </w:rPr>
            </w:pPr>
            <w:r w:rsidRPr="004D458B">
              <w:rPr>
                <w:rFonts w:ascii="Arial Narrow" w:hAnsi="Arial Narrow"/>
                <w:b/>
                <w:bCs/>
                <w:color w:val="000000"/>
                <w:sz w:val="18"/>
                <w:szCs w:val="18"/>
              </w:rPr>
              <w:t>Outcome</w:t>
            </w:r>
          </w:p>
        </w:tc>
        <w:tc>
          <w:tcPr>
            <w:tcW w:w="134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b/>
                <w:bCs/>
                <w:color w:val="000000"/>
                <w:sz w:val="18"/>
                <w:szCs w:val="18"/>
              </w:rPr>
            </w:pPr>
            <w:r w:rsidRPr="004D458B">
              <w:rPr>
                <w:rFonts w:ascii="Arial Narrow" w:hAnsi="Arial Narrow"/>
                <w:b/>
                <w:bCs/>
                <w:color w:val="000000"/>
                <w:sz w:val="18"/>
                <w:szCs w:val="18"/>
              </w:rPr>
              <w:t>Measure</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4D458B" w:rsidRPr="004D458B" w:rsidRDefault="004D458B" w:rsidP="004D458B">
            <w:pPr>
              <w:spacing w:before="0"/>
              <w:rPr>
                <w:rFonts w:ascii="Arial Narrow" w:hAnsi="Arial Narrow"/>
                <w:color w:val="000000"/>
                <w:sz w:val="18"/>
                <w:szCs w:val="18"/>
              </w:rPr>
            </w:pPr>
            <w:r w:rsidRPr="004D458B">
              <w:rPr>
                <w:rFonts w:ascii="Arial Narrow" w:hAnsi="Arial Narrow"/>
                <w:color w:val="000000"/>
                <w:sz w:val="18"/>
                <w:szCs w:val="18"/>
              </w:rPr>
              <w:t> </w:t>
            </w:r>
          </w:p>
        </w:tc>
      </w:tr>
      <w:tr w:rsidR="004D458B" w:rsidRPr="004D458B" w:rsidTr="00B61A79">
        <w:tc>
          <w:tcPr>
            <w:tcW w:w="12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i/>
                <w:iCs/>
                <w:color w:val="000000"/>
                <w:sz w:val="18"/>
                <w:szCs w:val="18"/>
              </w:rPr>
            </w:pPr>
            <w:r w:rsidRPr="004D458B">
              <w:rPr>
                <w:rFonts w:ascii="Arial Narrow" w:hAnsi="Arial Narrow"/>
                <w:i/>
                <w:iCs/>
                <w:color w:val="000000"/>
                <w:sz w:val="18"/>
                <w:szCs w:val="18"/>
              </w:rPr>
              <w:t>New Zealanders participate in the arts</w:t>
            </w:r>
          </w:p>
        </w:tc>
        <w:tc>
          <w:tcPr>
            <w:tcW w:w="13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left"/>
              <w:rPr>
                <w:rFonts w:ascii="Arial Narrow" w:hAnsi="Arial Narrow"/>
                <w:color w:val="000000"/>
                <w:sz w:val="18"/>
                <w:szCs w:val="18"/>
              </w:rPr>
            </w:pPr>
            <w:r w:rsidRPr="004D458B">
              <w:rPr>
                <w:rFonts w:ascii="Arial Narrow" w:hAnsi="Arial Narrow"/>
                <w:color w:val="000000"/>
                <w:sz w:val="18"/>
                <w:szCs w:val="18"/>
              </w:rPr>
              <w:t xml:space="preserve">Levels of participation in the arts from the three-yearly </w:t>
            </w:r>
            <w:r w:rsidRPr="004D458B">
              <w:rPr>
                <w:rFonts w:ascii="Arial Narrow" w:hAnsi="Arial Narrow"/>
                <w:i/>
                <w:iCs/>
                <w:color w:val="000000"/>
                <w:sz w:val="18"/>
                <w:szCs w:val="18"/>
              </w:rPr>
              <w:t>New Zealanders and the arts</w:t>
            </w:r>
            <w:r w:rsidRPr="004D458B">
              <w:rPr>
                <w:rFonts w:ascii="Arial Narrow" w:hAnsi="Arial Narrow"/>
                <w:color w:val="000000"/>
                <w:sz w:val="18"/>
                <w:szCs w:val="18"/>
              </w:rPr>
              <w:t xml:space="preserve"> survey </w:t>
            </w:r>
          </w:p>
        </w:tc>
        <w:tc>
          <w:tcPr>
            <w:tcW w:w="1840" w:type="dxa"/>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48%</w:t>
            </w:r>
            <w:r w:rsidRPr="004D458B">
              <w:rPr>
                <w:rFonts w:ascii="Arial Narrow" w:hAnsi="Arial Narrow"/>
                <w:color w:val="000000"/>
                <w:sz w:val="18"/>
                <w:szCs w:val="18"/>
              </w:rPr>
              <w:br/>
              <w:t>(2008 survey)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49%</w:t>
            </w:r>
          </w:p>
        </w:tc>
        <w:tc>
          <w:tcPr>
            <w:tcW w:w="9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Maintain or increase</w:t>
            </w:r>
          </w:p>
        </w:tc>
        <w:tc>
          <w:tcPr>
            <w:tcW w:w="0" w:type="auto"/>
            <w:gridSpan w:val="3"/>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4D458B" w:rsidRPr="004D458B" w:rsidRDefault="004D458B" w:rsidP="004D458B">
            <w:pPr>
              <w:spacing w:before="0"/>
              <w:jc w:val="center"/>
              <w:rPr>
                <w:rFonts w:ascii="Arial Narrow" w:hAnsi="Arial Narrow"/>
                <w:color w:val="000000"/>
                <w:sz w:val="18"/>
                <w:szCs w:val="18"/>
              </w:rPr>
            </w:pPr>
            <w:r w:rsidRPr="004D458B">
              <w:rPr>
                <w:rFonts w:ascii="Arial Narrow" w:hAnsi="Arial Narrow"/>
                <w:color w:val="000000"/>
                <w:sz w:val="18"/>
                <w:szCs w:val="18"/>
              </w:rPr>
              <w:t>No survey</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4D458B">
              <w:rPr>
                <w:rFonts w:ascii="Arial Narrow" w:hAnsi="Arial Narrow"/>
                <w:color w:val="000000"/>
                <w:sz w:val="18"/>
                <w:szCs w:val="18"/>
              </w:rPr>
              <w:t xml:space="preserve"> done every three years</w:t>
            </w:r>
          </w:p>
        </w:tc>
      </w:tr>
    </w:tbl>
    <w:p w:rsidR="003027E3" w:rsidRPr="006552E9" w:rsidRDefault="004D458B" w:rsidP="004A3D52">
      <w:pPr>
        <w:pStyle w:val="Tabletext"/>
        <w:rPr>
          <w:b/>
          <w:bCs/>
          <w:iCs/>
          <w:color w:val="365F91"/>
          <w:sz w:val="32"/>
          <w:szCs w:val="28"/>
        </w:rPr>
      </w:pPr>
      <w:r w:rsidRPr="006552E9">
        <w:t xml:space="preserve"> </w:t>
      </w:r>
      <w:r w:rsidR="003027E3" w:rsidRPr="006552E9">
        <w:br w:type="page"/>
      </w:r>
    </w:p>
    <w:p w:rsidR="003027E3" w:rsidRPr="006552E9" w:rsidRDefault="003027E3" w:rsidP="003027E3">
      <w:pPr>
        <w:pStyle w:val="Heading2"/>
      </w:pPr>
      <w:bookmarkStart w:id="33" w:name="_Toc373415012"/>
      <w:r w:rsidRPr="006552E9">
        <w:t>Outcome 2: High-quality New Zealand art is developed</w:t>
      </w:r>
      <w:bookmarkEnd w:id="33"/>
      <w:r w:rsidRPr="006552E9">
        <w:t xml:space="preserve"> </w:t>
      </w:r>
    </w:p>
    <w:p w:rsidR="003027E3" w:rsidRPr="006552E9" w:rsidRDefault="003027E3" w:rsidP="003027E3">
      <w:pPr>
        <w:pStyle w:val="Heading3"/>
      </w:pPr>
      <w:bookmarkStart w:id="34" w:name="_Toc373415013"/>
      <w:r w:rsidRPr="006552E9">
        <w:t>Our stories from 2012/13</w:t>
      </w:r>
      <w:bookmarkEnd w:id="34"/>
    </w:p>
    <w:p w:rsidR="00156C4F" w:rsidRDefault="00BC6B15" w:rsidP="00156C4F">
      <w:pPr>
        <w:pStyle w:val="Heading4"/>
      </w:pPr>
      <w:r w:rsidRPr="006552E9">
        <w:t>N</w:t>
      </w:r>
      <w:r w:rsidR="009F7E9F">
        <w:t xml:space="preserve">ew </w:t>
      </w:r>
      <w:r w:rsidRPr="006552E9">
        <w:t>Z</w:t>
      </w:r>
      <w:r w:rsidR="009F7E9F">
        <w:t>ealand</w:t>
      </w:r>
      <w:r w:rsidRPr="006552E9">
        <w:t xml:space="preserve"> Dance Company </w:t>
      </w:r>
    </w:p>
    <w:p w:rsidR="003D6DD1" w:rsidRPr="009F7E9F" w:rsidRDefault="000C2F1E" w:rsidP="009F7E9F">
      <w:pPr>
        <w:rPr>
          <w:szCs w:val="22"/>
        </w:rPr>
      </w:pPr>
      <w:r>
        <w:rPr>
          <w:noProof/>
          <w:szCs w:val="22"/>
          <w:shd w:val="clear" w:color="auto" w:fill="FFFFFF"/>
        </w:rPr>
        <w:drawing>
          <wp:anchor distT="0" distB="0" distL="114300" distR="114300" simplePos="0" relativeHeight="251674624" behindDoc="0" locked="0" layoutInCell="1" allowOverlap="1" wp14:anchorId="56B144FF" wp14:editId="69B0DDCD">
            <wp:simplePos x="0" y="0"/>
            <wp:positionH relativeFrom="margin">
              <wp:posOffset>-47625</wp:posOffset>
            </wp:positionH>
            <wp:positionV relativeFrom="margin">
              <wp:posOffset>1263015</wp:posOffset>
            </wp:positionV>
            <wp:extent cx="2705100" cy="4066540"/>
            <wp:effectExtent l="0" t="0" r="0" b="0"/>
            <wp:wrapSquare wrapText="bothSides"/>
            <wp:docPr id="12" name="Picture 12" title="Picture from NZ Dance Company production, Rotu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DC_Rotunda2013_Hannah Tasker-Poland &amp; Tupua Tigafua_Photo John McDermot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5100" cy="4066540"/>
                    </a:xfrm>
                    <a:prstGeom prst="rect">
                      <a:avLst/>
                    </a:prstGeom>
                  </pic:spPr>
                </pic:pic>
              </a:graphicData>
            </a:graphic>
            <wp14:sizeRelH relativeFrom="margin">
              <wp14:pctWidth>0</wp14:pctWidth>
            </wp14:sizeRelH>
            <wp14:sizeRelV relativeFrom="margin">
              <wp14:pctHeight>0</wp14:pctHeight>
            </wp14:sizeRelV>
          </wp:anchor>
        </w:drawing>
      </w:r>
      <w:r w:rsidR="003D6DD1" w:rsidRPr="009F7E9F">
        <w:rPr>
          <w:rStyle w:val="apple-style-span"/>
          <w:szCs w:val="22"/>
          <w:shd w:val="clear" w:color="auto" w:fill="FFFFFF"/>
        </w:rPr>
        <w:t>2013 has seen several milestone achievements for The New Zealand Dance Company</w:t>
      </w:r>
      <w:r w:rsidR="009F7E9F">
        <w:rPr>
          <w:rStyle w:val="apple-style-span"/>
          <w:szCs w:val="22"/>
          <w:shd w:val="clear" w:color="auto" w:fill="FFFFFF"/>
        </w:rPr>
        <w:t xml:space="preserve"> (NZDC)</w:t>
      </w:r>
      <w:r w:rsidR="003D6DD1" w:rsidRPr="009F7E9F">
        <w:rPr>
          <w:rStyle w:val="apple-style-span"/>
          <w:szCs w:val="22"/>
          <w:shd w:val="clear" w:color="auto" w:fill="FFFFFF"/>
        </w:rPr>
        <w:t>. Following the box office and artistic success of their inaugural tour of </w:t>
      </w:r>
      <w:r w:rsidR="003D6DD1" w:rsidRPr="009F7E9F">
        <w:rPr>
          <w:rStyle w:val="apple-style-span"/>
          <w:i/>
          <w:iCs/>
          <w:szCs w:val="22"/>
          <w:shd w:val="clear" w:color="auto" w:fill="FFFFFF"/>
        </w:rPr>
        <w:t>Language of Living</w:t>
      </w:r>
      <w:r w:rsidR="003D6DD1" w:rsidRPr="009F7E9F">
        <w:rPr>
          <w:rStyle w:val="apple-style-span"/>
          <w:szCs w:val="22"/>
          <w:shd w:val="clear" w:color="auto" w:fill="FFFFFF"/>
        </w:rPr>
        <w:t xml:space="preserve">, the company has recently premiered </w:t>
      </w:r>
      <w:r w:rsidR="004E4FB5">
        <w:rPr>
          <w:rStyle w:val="apple-style-span"/>
          <w:szCs w:val="22"/>
          <w:shd w:val="clear" w:color="auto" w:fill="FFFFFF"/>
        </w:rPr>
        <w:t>its</w:t>
      </w:r>
      <w:r w:rsidR="003D6DD1" w:rsidRPr="009F7E9F">
        <w:rPr>
          <w:rStyle w:val="apple-style-span"/>
          <w:szCs w:val="22"/>
          <w:shd w:val="clear" w:color="auto" w:fill="FFFFFF"/>
        </w:rPr>
        <w:t xml:space="preserve"> first full-length work, </w:t>
      </w:r>
      <w:r w:rsidR="003D6DD1" w:rsidRPr="009F7E9F">
        <w:rPr>
          <w:rStyle w:val="apple-style-span"/>
          <w:i/>
          <w:iCs/>
          <w:szCs w:val="22"/>
          <w:shd w:val="clear" w:color="auto" w:fill="FFFFFF"/>
        </w:rPr>
        <w:t>Rotunda</w:t>
      </w:r>
      <w:r w:rsidR="003D6DD1" w:rsidRPr="009F7E9F">
        <w:rPr>
          <w:rStyle w:val="apple-style-span"/>
          <w:szCs w:val="22"/>
          <w:shd w:val="clear" w:color="auto" w:fill="FFFFFF"/>
        </w:rPr>
        <w:t>, at Q</w:t>
      </w:r>
      <w:r w:rsidR="009F7E9F">
        <w:rPr>
          <w:rStyle w:val="apple-style-span"/>
          <w:szCs w:val="22"/>
          <w:shd w:val="clear" w:color="auto" w:fill="FFFFFF"/>
        </w:rPr>
        <w:t> </w:t>
      </w:r>
      <w:r w:rsidR="003D6DD1" w:rsidRPr="009F7E9F">
        <w:rPr>
          <w:rStyle w:val="apple-style-span"/>
          <w:szCs w:val="22"/>
          <w:shd w:val="clear" w:color="auto" w:fill="FFFFFF"/>
        </w:rPr>
        <w:t>Theatre. </w:t>
      </w:r>
      <w:r w:rsidR="003D6DD1" w:rsidRPr="009F7E9F">
        <w:rPr>
          <w:rStyle w:val="apple-style-span"/>
          <w:i/>
          <w:iCs/>
          <w:szCs w:val="22"/>
          <w:shd w:val="clear" w:color="auto" w:fill="FFFFFF"/>
        </w:rPr>
        <w:t>Rotunda</w:t>
      </w:r>
      <w:r w:rsidR="003D6DD1" w:rsidRPr="009F7E9F">
        <w:rPr>
          <w:rStyle w:val="apple-style-span"/>
          <w:szCs w:val="22"/>
          <w:shd w:val="clear" w:color="auto" w:fill="FFFFFF"/>
        </w:rPr>
        <w:t xml:space="preserve"> features the powerful collision of a live brass band with contemporary dance and has been described as </w:t>
      </w:r>
      <w:r w:rsidR="002D3584">
        <w:rPr>
          <w:rStyle w:val="apple-style-span"/>
          <w:i/>
          <w:szCs w:val="22"/>
          <w:shd w:val="clear" w:color="auto" w:fill="FFFFFF"/>
        </w:rPr>
        <w:t>‘</w:t>
      </w:r>
      <w:r w:rsidR="00CD492D">
        <w:rPr>
          <w:rStyle w:val="apple-style-span"/>
          <w:i/>
          <w:szCs w:val="22"/>
          <w:shd w:val="clear" w:color="auto" w:fill="FFFFFF"/>
        </w:rPr>
        <w:t>.</w:t>
      </w:r>
      <w:r w:rsidR="003D6DD1" w:rsidRPr="009F7E9F">
        <w:rPr>
          <w:rStyle w:val="apple-style-span"/>
          <w:i/>
          <w:szCs w:val="22"/>
          <w:shd w:val="clear" w:color="auto" w:fill="FFFFFF"/>
        </w:rPr>
        <w:t>..another fierce and fabulous strike for professional and profound contemporary dance in New Zealand</w:t>
      </w:r>
      <w:r w:rsidR="002D3584">
        <w:rPr>
          <w:rStyle w:val="apple-style-span"/>
          <w:i/>
          <w:szCs w:val="22"/>
          <w:shd w:val="clear" w:color="auto" w:fill="FFFFFF"/>
        </w:rPr>
        <w:t>’</w:t>
      </w:r>
      <w:r w:rsidR="009F7E9F">
        <w:rPr>
          <w:rStyle w:val="apple-style-span"/>
          <w:szCs w:val="22"/>
          <w:shd w:val="clear" w:color="auto" w:fill="FFFFFF"/>
        </w:rPr>
        <w:t>.</w:t>
      </w:r>
      <w:r w:rsidR="009F7E9F">
        <w:rPr>
          <w:rStyle w:val="FootnoteReference"/>
          <w:szCs w:val="22"/>
          <w:shd w:val="clear" w:color="auto" w:fill="FFFFFF"/>
        </w:rPr>
        <w:footnoteReference w:id="14"/>
      </w:r>
      <w:r w:rsidR="003D6DD1" w:rsidRPr="009F7E9F">
        <w:rPr>
          <w:rStyle w:val="apple-style-span"/>
          <w:szCs w:val="22"/>
          <w:shd w:val="clear" w:color="auto" w:fill="FFFFFF"/>
        </w:rPr>
        <w:t xml:space="preserve"> </w:t>
      </w:r>
    </w:p>
    <w:p w:rsidR="00F640F7" w:rsidRDefault="005D6E4A" w:rsidP="003D6DD1">
      <w:r>
        <w:rPr>
          <w:noProof/>
        </w:rPr>
        <w:pict>
          <v:shape id="_x0000_s1182" type="#_x0000_t202" style="position:absolute;left:0;text-align:left;margin-left:-221.15pt;margin-top:185pt;width:209.9pt;height:37.5pt;z-index:251677696;mso-position-horizontal-relative:text;mso-position-vertical-relative:text" stroked="f">
            <v:textbox inset="0,0,0,0">
              <w:txbxContent>
                <w:p w:rsidR="005D6E4A" w:rsidRPr="00F75365" w:rsidRDefault="005D6E4A" w:rsidP="000C2F1E">
                  <w:pPr>
                    <w:pStyle w:val="Caption"/>
                    <w:rPr>
                      <w:noProof/>
                      <w:shd w:val="clear" w:color="auto" w:fill="FFFFFF"/>
                    </w:rPr>
                  </w:pPr>
                  <w:r>
                    <w:t xml:space="preserve">Figure </w:t>
                  </w:r>
                  <w:fldSimple w:instr=" SEQ Figure \* ARABIC ">
                    <w:r>
                      <w:rPr>
                        <w:noProof/>
                      </w:rPr>
                      <w:t>10</w:t>
                    </w:r>
                  </w:fldSimple>
                  <w:r>
                    <w:t xml:space="preserve">: </w:t>
                  </w:r>
                  <w:r>
                    <w:rPr>
                      <w:i/>
                    </w:rPr>
                    <w:t>Rotunda</w:t>
                  </w:r>
                  <w:r>
                    <w:t>, NZDC, 2013, featuring Hannah Tasker-Poland and Tupua Tigafua. Photo courtesy of John McDermott.</w:t>
                  </w:r>
                </w:p>
              </w:txbxContent>
            </v:textbox>
            <w10:wrap type="square"/>
          </v:shape>
        </w:pict>
      </w:r>
      <w:r w:rsidR="003D6DD1" w:rsidRPr="009F7E9F">
        <w:rPr>
          <w:rStyle w:val="apple-style-span"/>
          <w:i/>
          <w:iCs/>
          <w:szCs w:val="22"/>
          <w:shd w:val="clear" w:color="auto" w:fill="FFFFFF"/>
        </w:rPr>
        <w:t>Rotunda</w:t>
      </w:r>
      <w:r w:rsidR="003D6DD1" w:rsidRPr="009F7E9F">
        <w:rPr>
          <w:rStyle w:val="apple-style-span"/>
          <w:szCs w:val="22"/>
          <w:shd w:val="clear" w:color="auto" w:fill="FFFFFF"/>
        </w:rPr>
        <w:t xml:space="preserve"> was produced to coincide with the 2014 </w:t>
      </w:r>
      <w:r w:rsidR="009F7E9F">
        <w:rPr>
          <w:rStyle w:val="apple-style-span"/>
          <w:szCs w:val="22"/>
          <w:shd w:val="clear" w:color="auto" w:fill="FFFFFF"/>
        </w:rPr>
        <w:t>–</w:t>
      </w:r>
      <w:r w:rsidR="003D6DD1" w:rsidRPr="009F7E9F">
        <w:rPr>
          <w:rStyle w:val="apple-style-span"/>
          <w:szCs w:val="22"/>
          <w:shd w:val="clear" w:color="auto" w:fill="FFFFFF"/>
        </w:rPr>
        <w:t xml:space="preserve">18 First World War </w:t>
      </w:r>
      <w:r w:rsidR="009F7E9F" w:rsidRPr="009F7E9F">
        <w:rPr>
          <w:rStyle w:val="apple-style-span"/>
          <w:szCs w:val="22"/>
          <w:shd w:val="clear" w:color="auto" w:fill="FFFFFF"/>
        </w:rPr>
        <w:t>centenary</w:t>
      </w:r>
      <w:r w:rsidR="009F7E9F">
        <w:rPr>
          <w:rStyle w:val="apple-style-span"/>
          <w:szCs w:val="22"/>
          <w:shd w:val="clear" w:color="auto" w:fill="FFFFFF"/>
        </w:rPr>
        <w:t>.</w:t>
      </w:r>
      <w:r w:rsidR="00B92908">
        <w:rPr>
          <w:rStyle w:val="apple-style-span"/>
          <w:szCs w:val="22"/>
          <w:shd w:val="clear" w:color="auto" w:fill="FFFFFF"/>
        </w:rPr>
        <w:t xml:space="preserve"> </w:t>
      </w:r>
      <w:r w:rsidR="009F7E9F" w:rsidRPr="009F7E9F">
        <w:rPr>
          <w:rStyle w:val="apple-style-span"/>
          <w:szCs w:val="22"/>
          <w:shd w:val="clear" w:color="auto" w:fill="FFFFFF"/>
        </w:rPr>
        <w:t xml:space="preserve">Created </w:t>
      </w:r>
      <w:r w:rsidR="003D6DD1" w:rsidRPr="009F7E9F">
        <w:rPr>
          <w:rStyle w:val="apple-style-span"/>
          <w:szCs w:val="22"/>
          <w:shd w:val="clear" w:color="auto" w:fill="FFFFFF"/>
        </w:rPr>
        <w:t>by the company’s Chief Executive and Artistic Director, Shona McCullagh</w:t>
      </w:r>
      <w:r w:rsidR="009F7E9F">
        <w:rPr>
          <w:rStyle w:val="apple-style-span"/>
          <w:szCs w:val="22"/>
          <w:shd w:val="clear" w:color="auto" w:fill="FFFFFF"/>
        </w:rPr>
        <w:t>,</w:t>
      </w:r>
      <w:r w:rsidR="003D6DD1" w:rsidRPr="009F7E9F">
        <w:rPr>
          <w:rStyle w:val="apple-style-span"/>
          <w:szCs w:val="22"/>
          <w:shd w:val="clear" w:color="auto" w:fill="FFFFFF"/>
        </w:rPr>
        <w:t xml:space="preserve"> in collaboration with NZDC dancers, musician Chris O’Connor and celebrated songwriter Don McGlashan as Musical Director</w:t>
      </w:r>
      <w:r w:rsidR="009F7E9F">
        <w:rPr>
          <w:rStyle w:val="apple-style-span"/>
          <w:szCs w:val="22"/>
          <w:shd w:val="clear" w:color="auto" w:fill="FFFFFF"/>
        </w:rPr>
        <w:t xml:space="preserve">, </w:t>
      </w:r>
      <w:r w:rsidR="009F7E9F" w:rsidRPr="009F7E9F">
        <w:rPr>
          <w:szCs w:val="22"/>
          <w:shd w:val="clear" w:color="auto" w:fill="FFFFFF"/>
        </w:rPr>
        <w:t xml:space="preserve">it </w:t>
      </w:r>
      <w:r w:rsidR="003D6DD1" w:rsidRPr="009F7E9F">
        <w:rPr>
          <w:szCs w:val="22"/>
          <w:shd w:val="clear" w:color="auto" w:fill="FFFFFF"/>
        </w:rPr>
        <w:t>brings to life the world of the band rotunda as an iconic symbol of New Zealand community</w:t>
      </w:r>
      <w:r w:rsidR="009F7E9F">
        <w:rPr>
          <w:szCs w:val="22"/>
          <w:shd w:val="clear" w:color="auto" w:fill="FFFFFF"/>
        </w:rPr>
        <w:t>.</w:t>
      </w:r>
      <w:r w:rsidR="00B92908">
        <w:rPr>
          <w:szCs w:val="22"/>
          <w:shd w:val="clear" w:color="auto" w:fill="FFFFFF"/>
        </w:rPr>
        <w:t xml:space="preserve"> </w:t>
      </w:r>
      <w:r w:rsidR="009F7E9F">
        <w:rPr>
          <w:szCs w:val="22"/>
          <w:shd w:val="clear" w:color="auto" w:fill="FFFFFF"/>
        </w:rPr>
        <w:t>The work</w:t>
      </w:r>
      <w:r w:rsidR="003D6DD1" w:rsidRPr="009F7E9F">
        <w:rPr>
          <w:szCs w:val="22"/>
          <w:shd w:val="clear" w:color="auto" w:fill="FFFFFF"/>
        </w:rPr>
        <w:t xml:space="preserve"> features contemporary and traditional brass music by New Zealand composers, to conjure the emotional landscape of a seminal time in </w:t>
      </w:r>
      <w:r w:rsidR="009F7E9F">
        <w:rPr>
          <w:szCs w:val="22"/>
          <w:shd w:val="clear" w:color="auto" w:fill="FFFFFF"/>
        </w:rPr>
        <w:t>our</w:t>
      </w:r>
      <w:r w:rsidR="003D6DD1" w:rsidRPr="009F7E9F">
        <w:rPr>
          <w:szCs w:val="22"/>
          <w:shd w:val="clear" w:color="auto" w:fill="FFFFFF"/>
        </w:rPr>
        <w:t xml:space="preserve"> history. </w:t>
      </w:r>
      <w:r w:rsidR="003D6DD1" w:rsidRPr="009F7E9F">
        <w:rPr>
          <w:rStyle w:val="apple-style-span"/>
          <w:szCs w:val="22"/>
        </w:rPr>
        <w:t>The company ha</w:t>
      </w:r>
      <w:r w:rsidR="009F7E9F">
        <w:rPr>
          <w:rStyle w:val="apple-style-span"/>
          <w:szCs w:val="22"/>
        </w:rPr>
        <w:t>s</w:t>
      </w:r>
      <w:r w:rsidR="003D6DD1" w:rsidRPr="009F7E9F">
        <w:rPr>
          <w:rStyle w:val="apple-style-span"/>
          <w:szCs w:val="22"/>
        </w:rPr>
        <w:t xml:space="preserve"> been invited to perform </w:t>
      </w:r>
      <w:r w:rsidR="003D6DD1" w:rsidRPr="009F7E9F">
        <w:rPr>
          <w:rStyle w:val="apple-style-span"/>
          <w:i/>
          <w:iCs/>
          <w:szCs w:val="22"/>
        </w:rPr>
        <w:t>Rotunda</w:t>
      </w:r>
      <w:r w:rsidR="003D6DD1" w:rsidRPr="009F7E9F">
        <w:rPr>
          <w:rStyle w:val="apple-style-span"/>
          <w:szCs w:val="22"/>
        </w:rPr>
        <w:t xml:space="preserve"> at the prestigious Holland Dance Festival in February 2014</w:t>
      </w:r>
      <w:r w:rsidR="009F7E9F">
        <w:rPr>
          <w:rStyle w:val="apple-style-span"/>
          <w:szCs w:val="22"/>
        </w:rPr>
        <w:t>. (Artform –</w:t>
      </w:r>
      <w:r w:rsidR="009F7E9F">
        <w:t xml:space="preserve"> Dance; location – Auckland; funding –</w:t>
      </w:r>
      <w:r w:rsidR="003473D3" w:rsidRPr="006552E9">
        <w:t xml:space="preserve"> Kahikatea</w:t>
      </w:r>
      <w:r w:rsidR="009F7E9F">
        <w:t xml:space="preserve"> investment programme</w:t>
      </w:r>
      <w:r w:rsidR="003473D3" w:rsidRPr="006552E9">
        <w:t>, $250,000</w:t>
      </w:r>
      <w:r w:rsidR="009F7E9F">
        <w:t>)</w:t>
      </w:r>
      <w:r w:rsidR="00B01AB3">
        <w:t>.</w:t>
      </w:r>
    </w:p>
    <w:p w:rsidR="003D6DD1" w:rsidRDefault="003D6DD1" w:rsidP="003D6DD1">
      <w:pPr>
        <w:pStyle w:val="Heading4"/>
      </w:pPr>
      <w:r>
        <w:t xml:space="preserve">Man Booker Prize </w:t>
      </w:r>
    </w:p>
    <w:p w:rsidR="00B01AB3" w:rsidRDefault="00B01AB3" w:rsidP="004226A6">
      <w:r>
        <w:rPr>
          <w:lang w:val="en"/>
        </w:rPr>
        <w:t xml:space="preserve">The recipient of the 2013 Man Booker Prize, Eleanor Catton, began her winning novel </w:t>
      </w:r>
      <w:r>
        <w:rPr>
          <w:i/>
          <w:iCs/>
          <w:lang w:val="en"/>
        </w:rPr>
        <w:t>The Luminaries</w:t>
      </w:r>
      <w:r>
        <w:rPr>
          <w:lang w:val="en"/>
        </w:rPr>
        <w:t xml:space="preserve"> using the 2008 Louis Johnson Writers’ Bursary and then further worked on the book during her six-month residency in 2012 at the Michael King Writers’ Centre. Both awards were funded by Creative New Zealand. </w:t>
      </w:r>
      <w:r>
        <w:t>Her publisher, Victoria University Press, has consistently received support for publishing New Zealand literature since the mid-1990s and is currently a Kahikatea investment programme client.</w:t>
      </w:r>
      <w:r w:rsidRPr="009C032E" w:rsidDel="006A1C01">
        <w:t xml:space="preserve"> </w:t>
      </w:r>
    </w:p>
    <w:p w:rsidR="000C2F1E" w:rsidRDefault="00B01AB3" w:rsidP="004226A6">
      <w:pPr>
        <w:rPr>
          <w:lang w:val="en"/>
        </w:rPr>
      </w:pPr>
      <w:r>
        <w:t xml:space="preserve">Eleanor Catton </w:t>
      </w:r>
      <w:r>
        <w:rPr>
          <w:lang w:val="en"/>
        </w:rPr>
        <w:t>has travelled widely to festivals in Edinburgh, Shanghai, Perth and Toronto and, in 2014, she’ll appear in Adelaide, with assistance from the Creative New Zealand International Writers’ Fund which is managed by the New Zealand Book Council.</w:t>
      </w:r>
    </w:p>
    <w:p w:rsidR="000C2F1E" w:rsidRDefault="00B01AB3" w:rsidP="00B01AB3">
      <w:r w:rsidRPr="00156C4F">
        <w:rPr>
          <w:rStyle w:val="Heading4Char"/>
          <w:i/>
          <w:noProof/>
        </w:rPr>
        <w:drawing>
          <wp:anchor distT="0" distB="0" distL="114300" distR="114300" simplePos="0" relativeHeight="251679744" behindDoc="0" locked="0" layoutInCell="1" allowOverlap="1" wp14:anchorId="341A0601" wp14:editId="65652176">
            <wp:simplePos x="0" y="0"/>
            <wp:positionH relativeFrom="margin">
              <wp:align>left</wp:align>
            </wp:positionH>
            <wp:positionV relativeFrom="margin">
              <wp:align>top</wp:align>
            </wp:positionV>
            <wp:extent cx="2486025" cy="2496820"/>
            <wp:effectExtent l="0" t="0" r="0" b="0"/>
            <wp:wrapSquare wrapText="bothSides"/>
            <wp:docPr id="8" name="Picture 8" title="Picture of clay vessel by Wi Taepa, from the collection of the Porirua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 Rere Taepa.jpg"/>
                    <pic:cNvPicPr/>
                  </pic:nvPicPr>
                  <pic:blipFill rotWithShape="1">
                    <a:blip r:embed="rId28">
                      <a:extLst>
                        <a:ext uri="{28A0092B-C50C-407E-A947-70E740481C1C}">
                          <a14:useLocalDpi xmlns:a14="http://schemas.microsoft.com/office/drawing/2010/main" val="0"/>
                        </a:ext>
                      </a:extLst>
                    </a:blip>
                    <a:srcRect l="17778" r="15778"/>
                    <a:stretch/>
                  </pic:blipFill>
                  <pic:spPr bwMode="auto">
                    <a:xfrm>
                      <a:off x="0" y="0"/>
                      <a:ext cx="2487418" cy="2498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F1E" w:rsidRPr="00156C4F">
        <w:rPr>
          <w:rStyle w:val="Heading4Char"/>
          <w:i/>
        </w:rPr>
        <w:t>Uku Rere</w:t>
      </w:r>
      <w:r w:rsidR="000C2F1E" w:rsidRPr="00156C4F">
        <w:rPr>
          <w:rStyle w:val="Heading4Char"/>
        </w:rPr>
        <w:t xml:space="preserve"> Ngā Kaihanga Uku: The Contemporary Māori Clay Movement</w:t>
      </w:r>
      <w:r w:rsidR="000C2F1E" w:rsidRPr="006552E9">
        <w:t xml:space="preserve"> </w:t>
      </w:r>
    </w:p>
    <w:p w:rsidR="000C2F1E" w:rsidRDefault="000C2F1E" w:rsidP="000C2F1E">
      <w:r>
        <w:t xml:space="preserve">A partnership between </w:t>
      </w:r>
      <w:r w:rsidRPr="006552E9">
        <w:t>Toi Māori</w:t>
      </w:r>
      <w:r>
        <w:t xml:space="preserve"> and </w:t>
      </w:r>
      <w:r w:rsidRPr="006552E9">
        <w:t xml:space="preserve">Pataka Art + Museum, </w:t>
      </w:r>
      <w:r>
        <w:t>the project supported the tour of this exhibition to six regional venues.</w:t>
      </w:r>
      <w:r w:rsidR="00B92908">
        <w:t xml:space="preserve"> </w:t>
      </w:r>
      <w:r>
        <w:t xml:space="preserve">The exhibiting artists participated in public programme events at each of the venues, including demonstrations of ceramic skills and panel discussions. </w:t>
      </w:r>
    </w:p>
    <w:p w:rsidR="000C2F1E" w:rsidRDefault="005D6E4A" w:rsidP="000C2F1E">
      <w:r>
        <w:rPr>
          <w:noProof/>
        </w:rPr>
        <w:pict>
          <v:shape id="_x0000_s1183" type="#_x0000_t202" style="position:absolute;left:0;text-align:left;margin-left:-197.8pt;margin-top:80.7pt;width:186.55pt;height:41.4pt;z-index:251680768;mso-position-horizontal-relative:text;mso-position-vertical-relative:text" stroked="f">
            <v:textbox style="mso-fit-shape-to-text:t" inset="0,0,0,0">
              <w:txbxContent>
                <w:p w:rsidR="005D6E4A" w:rsidRPr="00E2677A" w:rsidRDefault="005D6E4A" w:rsidP="000C2F1E">
                  <w:pPr>
                    <w:pStyle w:val="Caption"/>
                    <w:rPr>
                      <w:sz w:val="24"/>
                      <w:szCs w:val="28"/>
                    </w:rPr>
                  </w:pPr>
                  <w:r>
                    <w:t xml:space="preserve">Figure </w:t>
                  </w:r>
                  <w:fldSimple w:instr=" SEQ Figure \* ARABIC ">
                    <w:r>
                      <w:rPr>
                        <w:noProof/>
                      </w:rPr>
                      <w:t>11</w:t>
                    </w:r>
                  </w:fldSimple>
                  <w:r>
                    <w:t xml:space="preserve">: </w:t>
                  </w:r>
                  <w:r>
                    <w:rPr>
                      <w:i/>
                    </w:rPr>
                    <w:t>Ipu</w:t>
                  </w:r>
                  <w:r>
                    <w:t>, by Wi Taepa, 1992.  Medium – clay, sigilatta lustre sprayed over wax resist: dimensions – 290x300x300mm, collection of Porirua City Council. Photo courtesy of Forrest Smyth and the artist.</w:t>
                  </w:r>
                </w:p>
              </w:txbxContent>
            </v:textbox>
            <w10:wrap type="square"/>
          </v:shape>
        </w:pict>
      </w:r>
      <w:r w:rsidR="000C2F1E" w:rsidRPr="00156C4F">
        <w:t>Ngā Kaihanga Uku</w:t>
      </w:r>
      <w:r w:rsidR="000C2F1E">
        <w:t xml:space="preserve"> is</w:t>
      </w:r>
      <w:r w:rsidR="000C2F1E" w:rsidRPr="00156C4F">
        <w:t xml:space="preserve"> a long-standing and important organisation that has championed the medium of clay within a kaupapa Māori context</w:t>
      </w:r>
      <w:r w:rsidR="000C2F1E" w:rsidRPr="004547CA">
        <w:rPr>
          <w:rFonts w:ascii="Book Antiqua" w:hAnsi="Book Antiqua"/>
          <w:szCs w:val="22"/>
          <w:lang w:val="en-US"/>
        </w:rPr>
        <w:t>.</w:t>
      </w:r>
      <w:r w:rsidR="000C2F1E">
        <w:rPr>
          <w:rFonts w:ascii="Book Antiqua" w:hAnsi="Book Antiqua"/>
          <w:szCs w:val="22"/>
          <w:lang w:val="en-US"/>
        </w:rPr>
        <w:t xml:space="preserve"> </w:t>
      </w:r>
      <w:r w:rsidR="000C2F1E" w:rsidRPr="00131D78">
        <w:t>(Artform – craft</w:t>
      </w:r>
      <w:r w:rsidR="00E106E4">
        <w:t>/</w:t>
      </w:r>
      <w:r w:rsidR="000C2F1E" w:rsidRPr="006552E9">
        <w:t>object</w:t>
      </w:r>
      <w:r w:rsidR="000C2F1E">
        <w:t>; locations – Whangarei, Rotorua, Gisborne, Palmerston North, Masterton, Nelson;</w:t>
      </w:r>
      <w:r w:rsidR="000C2F1E" w:rsidRPr="006552E9">
        <w:t xml:space="preserve"> </w:t>
      </w:r>
      <w:r w:rsidR="000C2F1E">
        <w:t xml:space="preserve">funding – </w:t>
      </w:r>
      <w:r w:rsidR="000C2F1E" w:rsidRPr="006552E9">
        <w:t>Māori Arts Presentation Fund</w:t>
      </w:r>
      <w:r w:rsidR="000C2F1E">
        <w:t>, $50,000)</w:t>
      </w:r>
      <w:r w:rsidR="00E2677A">
        <w:t>.</w:t>
      </w:r>
    </w:p>
    <w:p w:rsidR="00E2677A" w:rsidRPr="006552E9" w:rsidRDefault="00E2677A" w:rsidP="000C2F1E"/>
    <w:p w:rsidR="003027E3" w:rsidRPr="006552E9" w:rsidRDefault="003027E3" w:rsidP="003027E3">
      <w:pPr>
        <w:pStyle w:val="Heading3"/>
      </w:pPr>
      <w:bookmarkStart w:id="35" w:name="_Toc373415014"/>
      <w:r w:rsidRPr="006552E9">
        <w:t>What we were seeking to achieve</w:t>
      </w:r>
      <w:bookmarkEnd w:id="35"/>
    </w:p>
    <w:p w:rsidR="003027E3" w:rsidRPr="006552E9" w:rsidRDefault="003027E3" w:rsidP="003027E3">
      <w:r w:rsidRPr="006552E9">
        <w:t>Creative New Zealand seeks to ensure that artists, arts practitioners and arts organisations have the opportunity to fulfil their potential by:</w:t>
      </w:r>
    </w:p>
    <w:p w:rsidR="003027E3" w:rsidRPr="006552E9" w:rsidRDefault="003027E3" w:rsidP="003027E3">
      <w:pPr>
        <w:pStyle w:val="Bullet"/>
        <w:numPr>
          <w:ilvl w:val="0"/>
          <w:numId w:val="32"/>
        </w:numPr>
        <w:tabs>
          <w:tab w:val="clear" w:pos="777"/>
          <w:tab w:val="left" w:pos="567"/>
        </w:tabs>
        <w:ind w:left="567" w:hanging="510"/>
        <w:jc w:val="left"/>
      </w:pPr>
      <w:r w:rsidRPr="006552E9">
        <w:t xml:space="preserve">continually developing their artforms, the quality of their work and their artistic skills and capabilities, and </w:t>
      </w:r>
    </w:p>
    <w:p w:rsidR="003027E3" w:rsidRPr="006552E9" w:rsidRDefault="003027E3" w:rsidP="003027E3">
      <w:pPr>
        <w:pStyle w:val="Bullet"/>
        <w:numPr>
          <w:ilvl w:val="0"/>
          <w:numId w:val="32"/>
        </w:numPr>
        <w:tabs>
          <w:tab w:val="clear" w:pos="777"/>
          <w:tab w:val="left" w:pos="567"/>
        </w:tabs>
        <w:ind w:left="567" w:hanging="510"/>
        <w:jc w:val="left"/>
      </w:pPr>
      <w:r w:rsidRPr="006552E9">
        <w:t>having opportunities to experiment, be innovative and take risks.</w:t>
      </w:r>
    </w:p>
    <w:p w:rsidR="003027E3" w:rsidRPr="006552E9" w:rsidRDefault="003027E3" w:rsidP="003027E3">
      <w:r w:rsidRPr="006552E9">
        <w:rPr>
          <w:rFonts w:cs="Arial"/>
          <w:szCs w:val="22"/>
        </w:rPr>
        <w:t>We are committed to developing and strengthening New Zealand artistic work.</w:t>
      </w:r>
      <w:r w:rsidR="00175E6D" w:rsidRPr="006552E9">
        <w:rPr>
          <w:rFonts w:cs="Arial"/>
          <w:szCs w:val="22"/>
        </w:rPr>
        <w:t xml:space="preserve"> </w:t>
      </w:r>
      <w:r w:rsidRPr="006552E9">
        <w:rPr>
          <w:rFonts w:cs="Arial"/>
          <w:szCs w:val="22"/>
        </w:rPr>
        <w:t>As the national arts development agency, we take a lead role in achieving this outcome providing funding across all artforms and supporting the full range of individuals and arts organisations.</w:t>
      </w:r>
    </w:p>
    <w:p w:rsidR="003027E3" w:rsidRPr="006552E9" w:rsidRDefault="003027E3" w:rsidP="003027E3">
      <w:pPr>
        <w:pStyle w:val="Heading3"/>
      </w:pPr>
      <w:bookmarkStart w:id="36" w:name="_Toc373415015"/>
      <w:r w:rsidRPr="006552E9">
        <w:t>What we did</w:t>
      </w:r>
      <w:bookmarkEnd w:id="36"/>
    </w:p>
    <w:p w:rsidR="003027E3" w:rsidRPr="006552E9" w:rsidRDefault="003027E3" w:rsidP="003027E3">
      <w:r w:rsidRPr="006552E9">
        <w:t>Creative New Zealand made a substantial investment towards this outcome through the Tōtara and Kahikatea investment programmes.</w:t>
      </w:r>
      <w:r w:rsidR="00175E6D" w:rsidRPr="006552E9">
        <w:t xml:space="preserve"> </w:t>
      </w:r>
      <w:r w:rsidRPr="006552E9">
        <w:t>Our Tōtara organisations played a vital role in supporting this outcome, through providing leadership, developing talent, and supporting innovation and artistic risk.</w:t>
      </w:r>
      <w:r w:rsidR="00175E6D" w:rsidRPr="006552E9">
        <w:t xml:space="preserve"> </w:t>
      </w:r>
      <w:r w:rsidRPr="006552E9">
        <w:t>The key roles that we fund through this programme complement the investments made by central and local government.</w:t>
      </w:r>
      <w:r w:rsidR="00175E6D" w:rsidRPr="006552E9">
        <w:t xml:space="preserve"> </w:t>
      </w:r>
      <w:r w:rsidRPr="006552E9">
        <w:t>In total, we invested $8.3 million in this outcome via these programmes.</w:t>
      </w:r>
    </w:p>
    <w:p w:rsidR="003027E3" w:rsidRDefault="003027E3" w:rsidP="003027E3">
      <w:r w:rsidRPr="006552E9">
        <w:t>In addition, our Grants and special opportunities and Earthquake funding supported individual artists, arts practitioners and arts organisations to create new works and develop their artistic skills through 235 grants worth $3.8 million.</w:t>
      </w:r>
    </w:p>
    <w:p w:rsidR="006552E9" w:rsidRPr="006552E9" w:rsidRDefault="006552E9" w:rsidP="003027E3">
      <w:r w:rsidRPr="0059357E">
        <w:rPr>
          <w:rFonts w:cs="Tahoma"/>
        </w:rPr>
        <w:t xml:space="preserve">Figure </w:t>
      </w:r>
      <w:r w:rsidR="002D3584" w:rsidRPr="0059357E">
        <w:rPr>
          <w:rFonts w:cs="Tahoma"/>
        </w:rPr>
        <w:t>1</w:t>
      </w:r>
      <w:r w:rsidR="00DE3684">
        <w:rPr>
          <w:rFonts w:cs="Tahoma"/>
        </w:rPr>
        <w:t>2</w:t>
      </w:r>
      <w:r w:rsidRPr="0059357E">
        <w:rPr>
          <w:rFonts w:cs="Tahoma"/>
        </w:rPr>
        <w:t xml:space="preserve"> shows how the investment in outcome 2 has developed over the past four years, in terms of contributions from the different funding programmes and total expenditure</w:t>
      </w:r>
      <w:r w:rsidR="00F566E4" w:rsidRPr="0059357E">
        <w:rPr>
          <w:rFonts w:cs="Tahoma"/>
        </w:rPr>
        <w:t>.</w:t>
      </w:r>
    </w:p>
    <w:p w:rsidR="004A3D52" w:rsidRPr="006552E9" w:rsidRDefault="005D6E4A" w:rsidP="00466D73">
      <w:r>
        <w:pict>
          <v:shape id="_x0000_i1032" type="#_x0000_t75" alt="Stacked bar chart showing funding for outcome 2, by programme and year:&#10;&#10;Programme 2009/10 2010/11 2011/12 2012/13&#10;Tōtara programme (was RFOs)  $4,431,685   $4,421,304   $6,238,649   $6,088,911 &#10;Kahikatea programme  $-     $-     $1,590,643   $2,161,688 &#10;Grants &amp; special opprtunities  $7,745,793   $7,148,037   $4,059,484   $3,722,653 &#10;Earthquake fund  $-     $128,241   $768,485   $81,276 &#10;Advocacy  $-     $108,011   $120,493   $129,982 &#10;Total funding  $12,177,477   $11,805,593   $12,777,753   $12,184,510 &#10;" style="width:301.15pt;height:252.3pt">
            <v:imagedata r:id="rId29"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12</w:t>
      </w:r>
      <w:r w:rsidR="006E1B57" w:rsidRPr="006552E9">
        <w:fldChar w:fldCharType="end"/>
      </w:r>
      <w:r w:rsidRPr="006552E9">
        <w:t xml:space="preserve">: Outcome 2, </w:t>
      </w:r>
      <w:r w:rsidR="002D3584">
        <w:t>investment</w:t>
      </w:r>
      <w:r w:rsidRPr="006552E9">
        <w:t xml:space="preserve"> by programme, 2009/10 to 2012/13</w:t>
      </w:r>
    </w:p>
    <w:p w:rsidR="003027E3" w:rsidRPr="006552E9" w:rsidRDefault="003027E3" w:rsidP="00F45179">
      <w:pPr>
        <w:pStyle w:val="Heading3"/>
      </w:pPr>
      <w:bookmarkStart w:id="37" w:name="_Toc373415016"/>
      <w:r w:rsidRPr="006552E9">
        <w:t>How we performed</w:t>
      </w:r>
      <w:bookmarkEnd w:id="37"/>
    </w:p>
    <w:p w:rsidR="00F45179" w:rsidRPr="006552E9" w:rsidRDefault="00F45179" w:rsidP="004A3D52">
      <w:pPr>
        <w:pStyle w:val="Caption"/>
        <w:keepNext/>
      </w:pPr>
    </w:p>
    <w:p w:rsidR="003027E3" w:rsidRPr="006552E9" w:rsidRDefault="003027E3" w:rsidP="004A3D52">
      <w:pPr>
        <w:pStyle w:val="Caption"/>
        <w:keepNext/>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2</w:t>
      </w:r>
      <w:r w:rsidR="006E1B57" w:rsidRPr="006552E9">
        <w:fldChar w:fldCharType="end"/>
      </w:r>
      <w:r w:rsidRPr="006552E9">
        <w:t>: Proof of performance, Outcome 2, 2009/10 to 2012/13</w:t>
      </w:r>
      <w:r w:rsidRPr="006552E9">
        <w:rPr>
          <w:rStyle w:val="FootnoteReference"/>
        </w:rPr>
        <w:footnoteReference w:id="15"/>
      </w:r>
    </w:p>
    <w:tbl>
      <w:tblPr>
        <w:tblW w:w="9740" w:type="dxa"/>
        <w:tblCellMar>
          <w:top w:w="28" w:type="dxa"/>
          <w:left w:w="57" w:type="dxa"/>
          <w:bottom w:w="28" w:type="dxa"/>
          <w:right w:w="57" w:type="dxa"/>
        </w:tblCellMar>
        <w:tblLook w:val="04A0" w:firstRow="1" w:lastRow="0" w:firstColumn="1" w:lastColumn="0" w:noHBand="0" w:noVBand="1"/>
      </w:tblPr>
      <w:tblGrid>
        <w:gridCol w:w="1240"/>
        <w:gridCol w:w="1340"/>
        <w:gridCol w:w="960"/>
        <w:gridCol w:w="960"/>
        <w:gridCol w:w="960"/>
        <w:gridCol w:w="960"/>
        <w:gridCol w:w="960"/>
        <w:gridCol w:w="700"/>
        <w:gridCol w:w="1660"/>
      </w:tblGrid>
      <w:tr w:rsidR="003A474A" w:rsidTr="00B61A79">
        <w:trPr>
          <w:trHeight w:val="255"/>
          <w:tblHeader/>
        </w:trPr>
        <w:tc>
          <w:tcPr>
            <w:tcW w:w="2580" w:type="dxa"/>
            <w:gridSpan w:val="2"/>
            <w:vMerge w:val="restart"/>
            <w:tcBorders>
              <w:top w:val="single" w:sz="4" w:space="0" w:color="auto"/>
              <w:left w:val="single" w:sz="4" w:space="0" w:color="auto"/>
              <w:bottom w:val="single" w:sz="4" w:space="0" w:color="000000"/>
              <w:right w:val="single" w:sz="4" w:space="0" w:color="000000"/>
            </w:tcBorders>
            <w:shd w:val="clear" w:color="000000" w:fill="B8CCE4"/>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2880" w:type="dxa"/>
            <w:gridSpan w:val="3"/>
            <w:tcBorders>
              <w:top w:val="single" w:sz="4" w:space="0" w:color="auto"/>
              <w:left w:val="nil"/>
              <w:bottom w:val="single" w:sz="4" w:space="0" w:color="auto"/>
              <w:right w:val="single" w:sz="4" w:space="0" w:color="000000"/>
            </w:tcBorders>
            <w:shd w:val="clear" w:color="000000" w:fill="B8CCE4"/>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Past years</w:t>
            </w:r>
          </w:p>
        </w:tc>
        <w:tc>
          <w:tcPr>
            <w:tcW w:w="4280" w:type="dxa"/>
            <w:gridSpan w:val="4"/>
            <w:tcBorders>
              <w:top w:val="single" w:sz="4" w:space="0" w:color="auto"/>
              <w:left w:val="nil"/>
              <w:bottom w:val="single" w:sz="4" w:space="0" w:color="auto"/>
              <w:right w:val="single" w:sz="4" w:space="0" w:color="auto"/>
            </w:tcBorders>
            <w:shd w:val="clear" w:color="000000" w:fill="B8CCE4"/>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Current year</w:t>
            </w:r>
          </w:p>
        </w:tc>
      </w:tr>
      <w:tr w:rsidR="003A474A" w:rsidTr="00B61A79">
        <w:trPr>
          <w:trHeight w:val="810"/>
          <w:tblHead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474A" w:rsidRDefault="003A474A" w:rsidP="003A474A">
            <w:pPr>
              <w:spacing w:before="0"/>
              <w:contextualSpacing/>
              <w:rPr>
                <w:rFonts w:ascii="Arial Narrow" w:hAnsi="Arial Narrow"/>
                <w:b/>
                <w:bCs/>
                <w:color w:val="000000"/>
                <w:sz w:val="18"/>
                <w:szCs w:val="18"/>
              </w:rPr>
            </w:pPr>
          </w:p>
        </w:tc>
        <w:tc>
          <w:tcPr>
            <w:tcW w:w="96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2009/10 Actual</w:t>
            </w:r>
          </w:p>
        </w:tc>
        <w:tc>
          <w:tcPr>
            <w:tcW w:w="96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2010/11 Actual</w:t>
            </w:r>
          </w:p>
        </w:tc>
        <w:tc>
          <w:tcPr>
            <w:tcW w:w="960" w:type="dxa"/>
            <w:tcBorders>
              <w:top w:val="nil"/>
              <w:left w:val="nil"/>
              <w:bottom w:val="single" w:sz="4" w:space="0" w:color="auto"/>
              <w:right w:val="nil"/>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xml:space="preserve">2011/12 Actual </w:t>
            </w:r>
          </w:p>
        </w:tc>
        <w:tc>
          <w:tcPr>
            <w:tcW w:w="960"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2012/13 Forecast</w:t>
            </w:r>
          </w:p>
        </w:tc>
        <w:tc>
          <w:tcPr>
            <w:tcW w:w="960" w:type="dxa"/>
            <w:tcBorders>
              <w:top w:val="nil"/>
              <w:left w:val="nil"/>
              <w:bottom w:val="single" w:sz="4" w:space="0" w:color="auto"/>
              <w:right w:val="nil"/>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xml:space="preserve">2012/13 Actual </w:t>
            </w:r>
          </w:p>
        </w:tc>
        <w:tc>
          <w:tcPr>
            <w:tcW w:w="700" w:type="dxa"/>
            <w:tcBorders>
              <w:top w:val="nil"/>
              <w:left w:val="single" w:sz="4" w:space="0" w:color="auto"/>
              <w:bottom w:val="nil"/>
              <w:right w:val="single" w:sz="4" w:space="0" w:color="auto"/>
            </w:tcBorders>
            <w:shd w:val="clear" w:color="000000" w:fill="B8CCE4"/>
            <w:tcMar>
              <w:top w:w="15" w:type="dxa"/>
              <w:left w:w="15" w:type="dxa"/>
              <w:bottom w:w="0" w:type="dxa"/>
              <w:right w:w="15" w:type="dxa"/>
            </w:tcMar>
            <w:vAlign w:val="center"/>
            <w:hideMark/>
          </w:tcPr>
          <w:p w:rsidR="003A474A" w:rsidRDefault="003A474A" w:rsidP="002D3584">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xml:space="preserve">Variance to </w:t>
            </w:r>
            <w:r w:rsidR="002D3584">
              <w:rPr>
                <w:rFonts w:ascii="Arial Narrow" w:hAnsi="Arial Narrow"/>
                <w:b/>
                <w:bCs/>
                <w:color w:val="000000"/>
                <w:sz w:val="18"/>
                <w:szCs w:val="18"/>
              </w:rPr>
              <w:t>f</w:t>
            </w:r>
            <w:r>
              <w:rPr>
                <w:rFonts w:ascii="Arial Narrow" w:hAnsi="Arial Narrow"/>
                <w:b/>
                <w:bCs/>
                <w:color w:val="000000"/>
                <w:sz w:val="18"/>
                <w:szCs w:val="18"/>
              </w:rPr>
              <w:t xml:space="preserve">orecast </w:t>
            </w:r>
            <w:r>
              <w:rPr>
                <w:rFonts w:ascii="Arial Narrow" w:hAnsi="Arial Narrow"/>
                <w:b/>
                <w:bCs/>
                <w:color w:val="000000"/>
                <w:sz w:val="18"/>
                <w:szCs w:val="18"/>
              </w:rPr>
              <w:br/>
              <w:t>(+/</w:t>
            </w:r>
            <w:r w:rsidR="002D3584">
              <w:rPr>
                <w:rFonts w:ascii="Arial Narrow" w:hAnsi="Arial Narrow"/>
                <w:b/>
                <w:bCs/>
                <w:color w:val="000000"/>
                <w:sz w:val="18"/>
                <w:szCs w:val="18"/>
              </w:rPr>
              <w:t>–</w:t>
            </w:r>
            <w:r>
              <w:rPr>
                <w:rFonts w:ascii="Arial Narrow" w:hAnsi="Arial Narrow"/>
                <w:b/>
                <w:bCs/>
                <w:color w:val="000000"/>
                <w:sz w:val="18"/>
                <w:szCs w:val="18"/>
              </w:rPr>
              <w:t>%)</w:t>
            </w:r>
          </w:p>
        </w:tc>
        <w:tc>
          <w:tcPr>
            <w:tcW w:w="1660"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b/>
                <w:bCs/>
                <w:color w:val="000000"/>
                <w:sz w:val="18"/>
                <w:szCs w:val="18"/>
              </w:rPr>
            </w:pPr>
            <w:r>
              <w:rPr>
                <w:rFonts w:ascii="Arial Narrow" w:hAnsi="Arial Narrow"/>
                <w:b/>
                <w:bCs/>
                <w:color w:val="000000"/>
                <w:sz w:val="18"/>
                <w:szCs w:val="18"/>
              </w:rPr>
              <w:t>Notes</w:t>
            </w:r>
          </w:p>
        </w:tc>
      </w:tr>
      <w:tr w:rsidR="003A474A" w:rsidTr="00B61A79">
        <w:trPr>
          <w:trHeight w:val="270"/>
        </w:trPr>
        <w:tc>
          <w:tcPr>
            <w:tcW w:w="0" w:type="auto"/>
            <w:tcBorders>
              <w:top w:val="nil"/>
              <w:left w:val="single" w:sz="4" w:space="0" w:color="auto"/>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b/>
                <w:bCs/>
                <w:color w:val="000000"/>
                <w:sz w:val="18"/>
                <w:szCs w:val="18"/>
              </w:rPr>
            </w:pPr>
            <w:r>
              <w:rPr>
                <w:rFonts w:ascii="Arial Narrow" w:hAnsi="Arial Narrow"/>
                <w:b/>
                <w:bCs/>
                <w:color w:val="000000"/>
                <w:sz w:val="18"/>
                <w:szCs w:val="18"/>
              </w:rPr>
              <w:t>Investment</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96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96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96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96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700" w:type="dxa"/>
            <w:tcBorders>
              <w:top w:val="single" w:sz="4" w:space="0" w:color="auto"/>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c>
          <w:tcPr>
            <w:tcW w:w="166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b/>
                <w:bCs/>
                <w:color w:val="000000"/>
                <w:sz w:val="18"/>
                <w:szCs w:val="18"/>
              </w:rPr>
            </w:pPr>
            <w:r>
              <w:rPr>
                <w:rFonts w:ascii="Arial Narrow" w:hAnsi="Arial Narrow"/>
                <w:b/>
                <w:bCs/>
                <w:color w:val="000000"/>
                <w:sz w:val="18"/>
                <w:szCs w:val="18"/>
              </w:rPr>
              <w:t> </w:t>
            </w:r>
          </w:p>
        </w:tc>
      </w:tr>
      <w:tr w:rsidR="003A474A" w:rsidTr="00B61A79">
        <w:trPr>
          <w:trHeight w:val="2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color w:val="000000"/>
                <w:sz w:val="18"/>
                <w:szCs w:val="18"/>
              </w:rPr>
            </w:pPr>
            <w:r>
              <w:rPr>
                <w:rFonts w:ascii="Arial Narrow" w:hAnsi="Arial Narrow"/>
                <w:color w:val="000000"/>
                <w:sz w:val="18"/>
                <w:szCs w:val="18"/>
              </w:rPr>
              <w:t>Total investment</w:t>
            </w:r>
            <w:r w:rsidR="00C02722">
              <w:rPr>
                <w:rFonts w:ascii="Arial Narrow" w:hAnsi="Arial Narrow"/>
                <w:color w:val="000000"/>
                <w:sz w:val="18"/>
                <w:szCs w:val="18"/>
              </w:rPr>
              <w:t xml:space="preserve"> </w:t>
            </w:r>
            <w:r w:rsidR="00877D63">
              <w:rPr>
                <w:rFonts w:ascii="Arial Narrow" w:hAnsi="Arial Narrow"/>
                <w:color w:val="000000"/>
                <w:sz w:val="18"/>
                <w:szCs w:val="18"/>
              </w:rPr>
              <w:t>–</w:t>
            </w:r>
            <w:r>
              <w:rPr>
                <w:rFonts w:ascii="Arial Narrow" w:hAnsi="Arial Narrow"/>
                <w:color w:val="000000"/>
                <w:sz w:val="18"/>
                <w:szCs w:val="18"/>
              </w:rPr>
              <w:t xml:space="preserve"> all programmes</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474A" w:rsidRDefault="003A474A" w:rsidP="00D527A0">
            <w:pPr>
              <w:spacing w:before="0"/>
              <w:contextualSpacing/>
              <w:jc w:val="center"/>
              <w:rPr>
                <w:rFonts w:ascii="Arial Narrow" w:hAnsi="Arial Narrow"/>
                <w:color w:val="000000"/>
                <w:sz w:val="18"/>
                <w:szCs w:val="18"/>
              </w:rPr>
            </w:pPr>
            <w:r>
              <w:rPr>
                <w:rFonts w:ascii="Arial Narrow" w:hAnsi="Arial Narrow"/>
                <w:color w:val="000000"/>
                <w:sz w:val="18"/>
                <w:szCs w:val="18"/>
              </w:rPr>
              <w:t>$12,177,477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474A" w:rsidRDefault="003A474A" w:rsidP="00D527A0">
            <w:pPr>
              <w:spacing w:before="0"/>
              <w:contextualSpacing/>
              <w:jc w:val="center"/>
              <w:rPr>
                <w:rFonts w:ascii="Arial Narrow" w:hAnsi="Arial Narrow"/>
                <w:color w:val="000000"/>
                <w:sz w:val="18"/>
                <w:szCs w:val="18"/>
              </w:rPr>
            </w:pPr>
            <w:r>
              <w:rPr>
                <w:rFonts w:ascii="Arial Narrow" w:hAnsi="Arial Narrow"/>
                <w:color w:val="000000"/>
                <w:sz w:val="18"/>
                <w:szCs w:val="18"/>
              </w:rPr>
              <w:t>$11,805,593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474A" w:rsidRDefault="003A474A" w:rsidP="00D527A0">
            <w:pPr>
              <w:spacing w:before="0"/>
              <w:contextualSpacing/>
              <w:jc w:val="center"/>
              <w:rPr>
                <w:rFonts w:ascii="Arial Narrow" w:hAnsi="Arial Narrow"/>
                <w:color w:val="000000"/>
                <w:sz w:val="18"/>
                <w:szCs w:val="18"/>
              </w:rPr>
            </w:pPr>
            <w:r>
              <w:rPr>
                <w:rFonts w:ascii="Arial Narrow" w:hAnsi="Arial Narrow"/>
                <w:color w:val="000000"/>
                <w:sz w:val="18"/>
                <w:szCs w:val="18"/>
              </w:rPr>
              <w:t>$12,777,753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474A" w:rsidRDefault="003A474A" w:rsidP="00D527A0">
            <w:pPr>
              <w:spacing w:before="0"/>
              <w:contextualSpacing/>
              <w:jc w:val="center"/>
              <w:rPr>
                <w:rFonts w:ascii="Arial Narrow" w:hAnsi="Arial Narrow"/>
                <w:color w:val="000000"/>
                <w:sz w:val="18"/>
                <w:szCs w:val="18"/>
              </w:rPr>
            </w:pPr>
            <w:r>
              <w:rPr>
                <w:rFonts w:ascii="Arial Narrow" w:hAnsi="Arial Narrow"/>
                <w:color w:val="000000"/>
                <w:sz w:val="18"/>
                <w:szCs w:val="18"/>
              </w:rPr>
              <w:t>$12,516,986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D527A0">
            <w:pPr>
              <w:spacing w:before="0"/>
              <w:contextualSpacing/>
              <w:jc w:val="center"/>
              <w:rPr>
                <w:rFonts w:ascii="Arial Narrow" w:hAnsi="Arial Narrow"/>
                <w:color w:val="000000"/>
                <w:sz w:val="18"/>
                <w:szCs w:val="18"/>
              </w:rPr>
            </w:pPr>
            <w:r>
              <w:rPr>
                <w:rFonts w:ascii="Arial Narrow" w:hAnsi="Arial Narrow"/>
                <w:color w:val="000000"/>
                <w:sz w:val="18"/>
                <w:szCs w:val="18"/>
              </w:rPr>
              <w:t>$12,184,510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xml:space="preserve"> (3%)</w:t>
            </w:r>
          </w:p>
        </w:tc>
        <w:tc>
          <w:tcPr>
            <w:tcW w:w="0" w:type="auto"/>
            <w:tcBorders>
              <w:top w:val="nil"/>
              <w:left w:val="nil"/>
              <w:bottom w:val="nil"/>
              <w:right w:val="single" w:sz="4" w:space="0" w:color="auto"/>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r>
      <w:tr w:rsidR="003A474A" w:rsidTr="00B61A79">
        <w:trPr>
          <w:trHeight w:val="255"/>
        </w:trPr>
        <w:tc>
          <w:tcPr>
            <w:tcW w:w="0" w:type="auto"/>
            <w:tcBorders>
              <w:top w:val="nil"/>
              <w:left w:val="single" w:sz="4" w:space="0" w:color="auto"/>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b/>
                <w:bCs/>
                <w:color w:val="000000"/>
                <w:sz w:val="18"/>
                <w:szCs w:val="18"/>
              </w:rPr>
            </w:pPr>
            <w:r>
              <w:rPr>
                <w:rFonts w:ascii="Arial Narrow" w:hAnsi="Arial Narrow"/>
                <w:b/>
                <w:bCs/>
                <w:color w:val="000000"/>
                <w:sz w:val="18"/>
                <w:szCs w:val="18"/>
              </w:rPr>
              <w:t>Impact</w:t>
            </w:r>
          </w:p>
        </w:tc>
        <w:tc>
          <w:tcPr>
            <w:tcW w:w="134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b/>
                <w:bCs/>
                <w:color w:val="000000"/>
                <w:sz w:val="18"/>
                <w:szCs w:val="18"/>
              </w:rPr>
            </w:pPr>
            <w:r>
              <w:rPr>
                <w:rFonts w:ascii="Arial Narrow" w:hAnsi="Arial Narrow"/>
                <w:b/>
                <w:bCs/>
                <w:color w:val="000000"/>
                <w:sz w:val="18"/>
                <w:szCs w:val="18"/>
              </w:rPr>
              <w:t>Measure</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single" w:sz="4" w:space="0" w:color="auto"/>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single" w:sz="4"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r>
      <w:tr w:rsidR="003A474A" w:rsidTr="00B61A79">
        <w:trPr>
          <w:trHeight w:val="255"/>
        </w:trPr>
        <w:tc>
          <w:tcPr>
            <w:tcW w:w="12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i/>
                <w:iCs/>
                <w:color w:val="000000"/>
                <w:sz w:val="18"/>
                <w:szCs w:val="18"/>
              </w:rPr>
            </w:pPr>
            <w:r>
              <w:rPr>
                <w:rFonts w:ascii="Arial Narrow" w:hAnsi="Arial Narrow"/>
                <w:i/>
                <w:iCs/>
                <w:color w:val="000000"/>
                <w:sz w:val="18"/>
                <w:szCs w:val="18"/>
              </w:rPr>
              <w:t>High-quality artists</w:t>
            </w:r>
          </w:p>
        </w:tc>
        <w:tc>
          <w:tcPr>
            <w:tcW w:w="13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2D3584">
            <w:pPr>
              <w:spacing w:before="0"/>
              <w:contextualSpacing/>
              <w:jc w:val="left"/>
              <w:rPr>
                <w:rFonts w:ascii="Arial Narrow" w:hAnsi="Arial Narrow"/>
                <w:color w:val="000000"/>
                <w:sz w:val="18"/>
                <w:szCs w:val="18"/>
              </w:rPr>
            </w:pPr>
            <w:r>
              <w:rPr>
                <w:rFonts w:ascii="Arial Narrow" w:hAnsi="Arial Narrow"/>
                <w:color w:val="000000"/>
                <w:sz w:val="18"/>
                <w:szCs w:val="18"/>
              </w:rPr>
              <w:t xml:space="preserve">Number of </w:t>
            </w:r>
            <w:r w:rsidR="002D3584">
              <w:rPr>
                <w:rFonts w:ascii="Arial Narrow" w:hAnsi="Arial Narrow"/>
                <w:color w:val="000000"/>
                <w:sz w:val="18"/>
                <w:szCs w:val="18"/>
              </w:rPr>
              <w:t>‘</w:t>
            </w:r>
            <w:r>
              <w:rPr>
                <w:rFonts w:ascii="Arial Narrow" w:hAnsi="Arial Narrow"/>
                <w:color w:val="000000"/>
                <w:sz w:val="18"/>
                <w:szCs w:val="18"/>
              </w:rPr>
              <w:t>High-quality artists</w:t>
            </w:r>
            <w:r w:rsidR="002D3584">
              <w:rPr>
                <w:rFonts w:ascii="Arial Narrow" w:hAnsi="Arial Narrow"/>
                <w:color w:val="000000"/>
                <w:sz w:val="18"/>
                <w:szCs w:val="18"/>
              </w:rPr>
              <w:t>’</w:t>
            </w:r>
            <w:r>
              <w:rPr>
                <w:rFonts w:ascii="Arial Narrow" w:hAnsi="Arial Narrow"/>
                <w:color w:val="000000"/>
                <w:sz w:val="18"/>
                <w:szCs w:val="18"/>
              </w:rPr>
              <w:t xml:space="preserve"> projects and awards/residencies that are successfully completed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46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Calibri" w:hAnsi="Calibri"/>
                <w:color w:val="000000"/>
                <w:sz w:val="18"/>
                <w:szCs w:val="18"/>
              </w:rPr>
              <w:t>≥</w:t>
            </w:r>
            <w:r>
              <w:rPr>
                <w:rFonts w:ascii="Arial Narrow" w:hAnsi="Arial Narrow"/>
                <w:color w:val="000000"/>
                <w:sz w:val="18"/>
                <w:szCs w:val="18"/>
              </w:rPr>
              <w:t xml:space="preserve"> 50 projects</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56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12%</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Exceeded forecast</w:t>
            </w:r>
          </w:p>
        </w:tc>
      </w:tr>
      <w:tr w:rsidR="003A474A" w:rsidTr="00B61A79">
        <w:trPr>
          <w:trHeight w:val="810"/>
        </w:trPr>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i/>
                <w:i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New</w:t>
            </w:r>
            <w:r w:rsidR="00D527A0">
              <w:rPr>
                <w:rFonts w:ascii="Arial Narrow" w:hAnsi="Arial Narrow"/>
                <w:color w:val="000000"/>
                <w:sz w:val="18"/>
                <w:szCs w:val="18"/>
              </w:rPr>
              <w:t xml:space="preserve"> </w:t>
            </w:r>
            <w:r>
              <w:rPr>
                <w:rFonts w:ascii="Arial Narrow" w:hAnsi="Arial Narrow"/>
                <w:color w:val="000000"/>
                <w:sz w:val="18"/>
                <w:szCs w:val="18"/>
              </w:rPr>
              <w:t>measure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100%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90% met or exceeded expectations</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100%</w:t>
            </w:r>
            <w:r>
              <w:rPr>
                <w:rFonts w:ascii="Arial Narrow" w:hAnsi="Arial Narrow"/>
                <w:color w:val="000000"/>
                <w:sz w:val="18"/>
                <w:szCs w:val="18"/>
              </w:rPr>
              <w:br/>
              <w:t>(of the 89% that were evaluated)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11%</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Exceeded forecast</w:t>
            </w:r>
          </w:p>
        </w:tc>
      </w:tr>
      <w:tr w:rsidR="003A474A" w:rsidTr="00B61A79">
        <w:trPr>
          <w:trHeight w:val="1350"/>
        </w:trPr>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i/>
                <w:iCs/>
                <w:color w:val="000000"/>
                <w:sz w:val="18"/>
                <w:szCs w:val="18"/>
              </w:rPr>
            </w:pPr>
          </w:p>
        </w:tc>
        <w:tc>
          <w:tcPr>
            <w:tcW w:w="1340" w:type="dxa"/>
            <w:tcBorders>
              <w:top w:val="single" w:sz="4" w:space="0" w:color="000000"/>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color w:val="000000"/>
                <w:sz w:val="18"/>
                <w:szCs w:val="18"/>
              </w:rPr>
            </w:pPr>
            <w:r>
              <w:rPr>
                <w:rFonts w:ascii="Arial Narrow" w:hAnsi="Arial Narrow"/>
                <w:color w:val="000000"/>
                <w:sz w:val="18"/>
                <w:szCs w:val="18"/>
              </w:rPr>
              <w:t>Number of artists employed by Tōtara/Kahikatea organisations with a continuous programme</w:t>
            </w:r>
          </w:p>
        </w:tc>
        <w:tc>
          <w:tcPr>
            <w:tcW w:w="0" w:type="auto"/>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New</w:t>
            </w:r>
            <w:r w:rsidR="00D527A0">
              <w:rPr>
                <w:rFonts w:ascii="Arial Narrow" w:hAnsi="Arial Narrow"/>
                <w:color w:val="000000"/>
                <w:sz w:val="18"/>
                <w:szCs w:val="18"/>
              </w:rPr>
              <w:t xml:space="preserve"> </w:t>
            </w:r>
            <w:r>
              <w:rPr>
                <w:rFonts w:ascii="Arial Narrow" w:hAnsi="Arial Narrow"/>
                <w:color w:val="000000"/>
                <w:sz w:val="18"/>
                <w:szCs w:val="18"/>
              </w:rPr>
              <w:t>measure</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271 full time equivalents (2011 calendar year)</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No target set</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321 full time equivalents (2012 calendar year)</w:t>
            </w:r>
          </w:p>
        </w:tc>
        <w:tc>
          <w:tcPr>
            <w:tcW w:w="0" w:type="auto"/>
            <w:gridSpan w:val="2"/>
            <w:tcBorders>
              <w:top w:val="single" w:sz="4" w:space="0" w:color="auto"/>
              <w:left w:val="nil"/>
              <w:bottom w:val="single" w:sz="4" w:space="0" w:color="auto"/>
              <w:right w:val="single" w:sz="4" w:space="0" w:color="000000"/>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No target set</w:t>
            </w:r>
          </w:p>
        </w:tc>
      </w:tr>
      <w:tr w:rsidR="003A474A" w:rsidTr="00B61A79">
        <w:trPr>
          <w:cantSplit/>
        </w:trPr>
        <w:tc>
          <w:tcPr>
            <w:tcW w:w="12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i/>
                <w:iCs/>
                <w:color w:val="000000"/>
                <w:sz w:val="18"/>
                <w:szCs w:val="18"/>
              </w:rPr>
            </w:pPr>
            <w:r>
              <w:rPr>
                <w:rFonts w:ascii="Arial Narrow" w:hAnsi="Arial Narrow"/>
                <w:i/>
                <w:iCs/>
                <w:color w:val="000000"/>
                <w:sz w:val="18"/>
                <w:szCs w:val="18"/>
              </w:rPr>
              <w:t>Producing innovative work</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59357E">
            <w:pPr>
              <w:spacing w:before="0"/>
              <w:contextualSpacing/>
              <w:jc w:val="left"/>
              <w:rPr>
                <w:rFonts w:ascii="Arial Narrow" w:hAnsi="Arial Narrow"/>
                <w:color w:val="000000"/>
                <w:sz w:val="18"/>
                <w:szCs w:val="18"/>
              </w:rPr>
            </w:pPr>
            <w:r>
              <w:rPr>
                <w:rFonts w:ascii="Arial Narrow" w:hAnsi="Arial Narrow"/>
                <w:color w:val="000000"/>
                <w:sz w:val="18"/>
                <w:szCs w:val="18"/>
              </w:rPr>
              <w:t xml:space="preserve">Number of projects for </w:t>
            </w:r>
            <w:r w:rsidR="0059357E">
              <w:rPr>
                <w:rFonts w:ascii="Arial Narrow" w:hAnsi="Arial Narrow"/>
                <w:color w:val="000000"/>
                <w:sz w:val="18"/>
                <w:szCs w:val="18"/>
              </w:rPr>
              <w:t>‘</w:t>
            </w:r>
            <w:r>
              <w:rPr>
                <w:rFonts w:ascii="Arial Narrow" w:hAnsi="Arial Narrow"/>
                <w:color w:val="000000"/>
                <w:sz w:val="18"/>
                <w:szCs w:val="18"/>
              </w:rPr>
              <w:t>Producing innovative work</w:t>
            </w:r>
            <w:r w:rsidR="0059357E">
              <w:rPr>
                <w:rFonts w:ascii="Arial Narrow" w:hAnsi="Arial Narrow"/>
                <w:color w:val="000000"/>
                <w:sz w:val="18"/>
                <w:szCs w:val="18"/>
              </w:rPr>
              <w:t>’</w:t>
            </w:r>
            <w:r>
              <w:rPr>
                <w:rFonts w:ascii="Arial Narrow" w:hAnsi="Arial Narrow"/>
                <w:color w:val="000000"/>
                <w:sz w:val="18"/>
                <w:szCs w:val="18"/>
              </w:rPr>
              <w:t xml:space="preserve"> that are successfully completed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112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172 projects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101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xml:space="preserve"> (41%)</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Forecast not met.</w:t>
            </w:r>
            <w:r>
              <w:rPr>
                <w:rFonts w:ascii="Arial Narrow" w:hAnsi="Arial Narrow"/>
                <w:color w:val="000000"/>
                <w:sz w:val="18"/>
                <w:szCs w:val="18"/>
              </w:rPr>
              <w:br/>
              <w:t>Forecast was not adjusted to reflect the declining number of grants under this impact</w:t>
            </w:r>
          </w:p>
        </w:tc>
      </w:tr>
      <w:tr w:rsidR="003A474A" w:rsidTr="00B61A79">
        <w:trPr>
          <w:cantSplit/>
        </w:trPr>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i/>
                <w:iCs/>
                <w:color w:val="000000"/>
                <w:sz w:val="18"/>
                <w:szCs w:val="18"/>
              </w:rPr>
            </w:pP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New</w:t>
            </w:r>
            <w:r w:rsidR="00D527A0">
              <w:rPr>
                <w:rFonts w:ascii="Arial Narrow" w:hAnsi="Arial Narrow"/>
                <w:color w:val="000000"/>
                <w:sz w:val="18"/>
                <w:szCs w:val="18"/>
              </w:rPr>
              <w:t xml:space="preserve"> </w:t>
            </w:r>
            <w:r>
              <w:rPr>
                <w:rFonts w:ascii="Arial Narrow" w:hAnsi="Arial Narrow"/>
                <w:color w:val="000000"/>
                <w:sz w:val="18"/>
                <w:szCs w:val="18"/>
              </w:rPr>
              <w:t>measure</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97%</w:t>
            </w:r>
            <w:r>
              <w:rPr>
                <w:rFonts w:ascii="Arial Narrow" w:hAnsi="Arial Narrow"/>
                <w:color w:val="000000"/>
                <w:sz w:val="18"/>
                <w:szCs w:val="18"/>
              </w:rPr>
              <w:br/>
              <w:t>(of the 99% that were evaluated)</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90% met or exceeded expectations</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100%</w:t>
            </w:r>
            <w:r>
              <w:rPr>
                <w:rFonts w:ascii="Arial Narrow" w:hAnsi="Arial Narrow"/>
                <w:color w:val="000000"/>
                <w:sz w:val="18"/>
                <w:szCs w:val="18"/>
              </w:rPr>
              <w:br/>
              <w:t>(of the 89% that were evaluated)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11%</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Exceeded forecast</w:t>
            </w:r>
          </w:p>
        </w:tc>
      </w:tr>
      <w:tr w:rsidR="003A474A" w:rsidTr="00B61A79">
        <w:trPr>
          <w:trHeight w:val="255"/>
        </w:trPr>
        <w:tc>
          <w:tcPr>
            <w:tcW w:w="12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i/>
                <w:iCs/>
                <w:color w:val="000000"/>
                <w:sz w:val="18"/>
                <w:szCs w:val="18"/>
              </w:rPr>
            </w:pPr>
            <w:r>
              <w:rPr>
                <w:rFonts w:ascii="Arial Narrow" w:hAnsi="Arial Narrow"/>
                <w:i/>
                <w:iCs/>
                <w:color w:val="000000"/>
                <w:sz w:val="18"/>
                <w:szCs w:val="18"/>
              </w:rPr>
              <w:t xml:space="preserve">Developing potential </w:t>
            </w:r>
          </w:p>
        </w:tc>
        <w:tc>
          <w:tcPr>
            <w:tcW w:w="13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59357E">
            <w:pPr>
              <w:spacing w:before="0"/>
              <w:contextualSpacing/>
              <w:jc w:val="left"/>
              <w:rPr>
                <w:rFonts w:ascii="Arial Narrow" w:hAnsi="Arial Narrow"/>
                <w:color w:val="000000"/>
                <w:sz w:val="18"/>
                <w:szCs w:val="18"/>
              </w:rPr>
            </w:pPr>
            <w:r>
              <w:rPr>
                <w:rFonts w:ascii="Arial Narrow" w:hAnsi="Arial Narrow"/>
                <w:color w:val="000000"/>
                <w:sz w:val="18"/>
                <w:szCs w:val="18"/>
              </w:rPr>
              <w:t xml:space="preserve">Number of </w:t>
            </w:r>
            <w:r w:rsidR="0059357E">
              <w:rPr>
                <w:rFonts w:ascii="Arial Narrow" w:hAnsi="Arial Narrow"/>
                <w:color w:val="000000"/>
                <w:sz w:val="18"/>
                <w:szCs w:val="18"/>
              </w:rPr>
              <w:t>‘</w:t>
            </w:r>
            <w:r>
              <w:rPr>
                <w:rFonts w:ascii="Arial Narrow" w:hAnsi="Arial Narrow"/>
                <w:color w:val="000000"/>
                <w:sz w:val="18"/>
                <w:szCs w:val="18"/>
              </w:rPr>
              <w:t>Developing potential</w:t>
            </w:r>
            <w:r w:rsidR="0059357E">
              <w:rPr>
                <w:rFonts w:ascii="Arial Narrow" w:hAnsi="Arial Narrow"/>
                <w:color w:val="000000"/>
                <w:sz w:val="18"/>
                <w:szCs w:val="18"/>
              </w:rPr>
              <w:t>’</w:t>
            </w:r>
            <w:r>
              <w:rPr>
                <w:rFonts w:ascii="Arial Narrow" w:hAnsi="Arial Narrow"/>
                <w:color w:val="000000"/>
                <w:sz w:val="18"/>
                <w:szCs w:val="18"/>
              </w:rPr>
              <w:t xml:space="preserve"> projects and bursaries, scholarships that are successfully completed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95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90 projects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106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18%</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Exceeded forecast</w:t>
            </w:r>
          </w:p>
        </w:tc>
      </w:tr>
      <w:tr w:rsidR="003A474A" w:rsidTr="00B61A79">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i/>
                <w:i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color w:val="00000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New</w:t>
            </w:r>
            <w:r w:rsidR="00D527A0">
              <w:rPr>
                <w:rFonts w:ascii="Arial Narrow" w:hAnsi="Arial Narrow"/>
                <w:color w:val="000000"/>
                <w:sz w:val="18"/>
                <w:szCs w:val="18"/>
              </w:rPr>
              <w:t xml:space="preserve"> </w:t>
            </w:r>
            <w:r>
              <w:rPr>
                <w:rFonts w:ascii="Arial Narrow" w:hAnsi="Arial Narrow"/>
                <w:color w:val="000000"/>
                <w:sz w:val="18"/>
                <w:szCs w:val="18"/>
              </w:rPr>
              <w:t>measure</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99%</w:t>
            </w:r>
            <w:r>
              <w:rPr>
                <w:rFonts w:ascii="Arial Narrow" w:hAnsi="Arial Narrow"/>
                <w:color w:val="000000"/>
                <w:sz w:val="18"/>
                <w:szCs w:val="18"/>
              </w:rPr>
              <w:br/>
              <w:t>(of the 98% that were evaluated)</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90% met or exceeded expectations</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97% (of the 84% that were evaluated)</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8%</w:t>
            </w:r>
          </w:p>
        </w:tc>
        <w:tc>
          <w:tcPr>
            <w:tcW w:w="16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Exceeded forecast</w:t>
            </w:r>
          </w:p>
        </w:tc>
      </w:tr>
      <w:tr w:rsidR="003A474A" w:rsidTr="00B61A79">
        <w:trPr>
          <w:trHeight w:val="255"/>
        </w:trPr>
        <w:tc>
          <w:tcPr>
            <w:tcW w:w="0" w:type="auto"/>
            <w:tcBorders>
              <w:top w:val="nil"/>
              <w:left w:val="single" w:sz="4" w:space="0" w:color="auto"/>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b/>
                <w:bCs/>
                <w:color w:val="000000"/>
                <w:sz w:val="18"/>
                <w:szCs w:val="18"/>
              </w:rPr>
            </w:pPr>
            <w:r>
              <w:rPr>
                <w:rFonts w:ascii="Arial Narrow" w:hAnsi="Arial Narrow"/>
                <w:b/>
                <w:bCs/>
                <w:color w:val="000000"/>
                <w:sz w:val="18"/>
                <w:szCs w:val="18"/>
              </w:rPr>
              <w:t>Outcome</w:t>
            </w:r>
          </w:p>
        </w:tc>
        <w:tc>
          <w:tcPr>
            <w:tcW w:w="1340" w:type="dxa"/>
            <w:tcBorders>
              <w:top w:val="nil"/>
              <w:left w:val="nil"/>
              <w:bottom w:val="single" w:sz="4" w:space="0" w:color="auto"/>
              <w:right w:val="nil"/>
            </w:tcBorders>
            <w:shd w:val="clear" w:color="000000" w:fill="DCE6F1"/>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b/>
                <w:bCs/>
                <w:color w:val="000000"/>
                <w:sz w:val="18"/>
                <w:szCs w:val="18"/>
              </w:rPr>
            </w:pPr>
            <w:r>
              <w:rPr>
                <w:rFonts w:ascii="Arial Narrow" w:hAnsi="Arial Narrow"/>
                <w:b/>
                <w:bCs/>
                <w:color w:val="000000"/>
                <w:sz w:val="18"/>
                <w:szCs w:val="18"/>
              </w:rPr>
              <w:t>Measure</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nil"/>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single" w:sz="4" w:space="0" w:color="auto"/>
              <w:right w:val="nil"/>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center"/>
            <w:hideMark/>
          </w:tcPr>
          <w:p w:rsidR="003A474A" w:rsidRDefault="003A474A" w:rsidP="003A474A">
            <w:pPr>
              <w:spacing w:before="0"/>
              <w:contextualSpacing/>
              <w:rPr>
                <w:rFonts w:ascii="Arial Narrow" w:hAnsi="Arial Narrow"/>
                <w:color w:val="000000"/>
                <w:sz w:val="18"/>
                <w:szCs w:val="18"/>
              </w:rPr>
            </w:pPr>
            <w:r>
              <w:rPr>
                <w:rFonts w:ascii="Arial Narrow" w:hAnsi="Arial Narrow"/>
                <w:color w:val="000000"/>
                <w:sz w:val="18"/>
                <w:szCs w:val="18"/>
              </w:rPr>
              <w:t> </w:t>
            </w:r>
          </w:p>
        </w:tc>
      </w:tr>
      <w:tr w:rsidR="003A474A" w:rsidTr="00B61A79">
        <w:trPr>
          <w:trHeight w:val="810"/>
        </w:trPr>
        <w:tc>
          <w:tcPr>
            <w:tcW w:w="1240"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i/>
                <w:iCs/>
                <w:color w:val="000000"/>
                <w:sz w:val="18"/>
                <w:szCs w:val="18"/>
              </w:rPr>
            </w:pPr>
            <w:r>
              <w:rPr>
                <w:rFonts w:ascii="Arial Narrow" w:hAnsi="Arial Narrow"/>
                <w:i/>
                <w:iCs/>
                <w:color w:val="000000"/>
                <w:sz w:val="18"/>
                <w:szCs w:val="18"/>
              </w:rPr>
              <w:t>High-quality New Zealand art is developed</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color w:val="000000"/>
                <w:sz w:val="18"/>
                <w:szCs w:val="18"/>
              </w:rPr>
            </w:pPr>
            <w:r>
              <w:rPr>
                <w:rFonts w:ascii="Arial Narrow" w:hAnsi="Arial Narrow"/>
                <w:color w:val="000000"/>
                <w:sz w:val="18"/>
                <w:szCs w:val="18"/>
              </w:rPr>
              <w:t xml:space="preserve">Number of new works funded by Creative New Zealand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247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319</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No target set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267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N/A</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No target set</w:t>
            </w:r>
          </w:p>
        </w:tc>
      </w:tr>
      <w:tr w:rsidR="003A474A" w:rsidTr="00B61A79">
        <w:trPr>
          <w:cantSplit/>
        </w:trPr>
        <w:tc>
          <w:tcPr>
            <w:tcW w:w="0" w:type="auto"/>
            <w:vMerge/>
            <w:tcBorders>
              <w:top w:val="nil"/>
              <w:left w:val="single" w:sz="4" w:space="0" w:color="auto"/>
              <w:bottom w:val="single" w:sz="4" w:space="0" w:color="000000"/>
              <w:right w:val="single" w:sz="4" w:space="0" w:color="auto"/>
            </w:tcBorders>
            <w:vAlign w:val="center"/>
            <w:hideMark/>
          </w:tcPr>
          <w:p w:rsidR="003A474A" w:rsidRDefault="003A474A" w:rsidP="003A474A">
            <w:pPr>
              <w:spacing w:before="0"/>
              <w:contextualSpacing/>
              <w:jc w:val="left"/>
              <w:rPr>
                <w:rFonts w:ascii="Arial Narrow" w:hAnsi="Arial Narrow"/>
                <w:i/>
                <w:iCs/>
                <w:color w:val="000000"/>
                <w:sz w:val="18"/>
                <w:szCs w:val="18"/>
              </w:rPr>
            </w:pP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left"/>
              <w:rPr>
                <w:rFonts w:ascii="Arial Narrow" w:hAnsi="Arial Narrow"/>
                <w:color w:val="000000"/>
                <w:sz w:val="18"/>
                <w:szCs w:val="18"/>
              </w:rPr>
            </w:pPr>
            <w:r>
              <w:rPr>
                <w:rFonts w:ascii="Arial Narrow" w:hAnsi="Arial Narrow"/>
                <w:color w:val="000000"/>
                <w:sz w:val="18"/>
                <w:szCs w:val="18"/>
              </w:rPr>
              <w:t>Number of New Zealand works delivered by organisations funded by Creative New Zealand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330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563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443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 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417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90%</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A474A" w:rsidRDefault="003A474A" w:rsidP="003A474A">
            <w:pPr>
              <w:spacing w:before="0"/>
              <w:contextualSpacing/>
              <w:jc w:val="center"/>
              <w:rPr>
                <w:rFonts w:ascii="Arial Narrow" w:hAnsi="Arial Narrow"/>
                <w:color w:val="000000"/>
                <w:sz w:val="18"/>
                <w:szCs w:val="18"/>
              </w:rPr>
            </w:pPr>
            <w:r>
              <w:rPr>
                <w:rFonts w:ascii="Arial Narrow" w:hAnsi="Arial Narrow"/>
                <w:color w:val="000000"/>
                <w:sz w:val="18"/>
                <w:szCs w:val="18"/>
              </w:rPr>
              <w:t>Significantly exceeded forecast.</w:t>
            </w:r>
            <w:r>
              <w:rPr>
                <w:rFonts w:ascii="Arial Narrow" w:hAnsi="Arial Narrow"/>
                <w:color w:val="000000"/>
                <w:sz w:val="18"/>
                <w:szCs w:val="18"/>
              </w:rPr>
              <w:br/>
              <w:t>Forecast for 2013/14 has been increased to reflect actual results</w:t>
            </w:r>
          </w:p>
        </w:tc>
      </w:tr>
    </w:tbl>
    <w:p w:rsidR="003027E3" w:rsidRPr="006552E9" w:rsidRDefault="003A474A" w:rsidP="00F45179">
      <w:pPr>
        <w:pStyle w:val="Tabletext"/>
        <w:rPr>
          <w:color w:val="365F91"/>
          <w:sz w:val="32"/>
          <w:szCs w:val="28"/>
        </w:rPr>
      </w:pPr>
      <w:r w:rsidRPr="006552E9">
        <w:t xml:space="preserve"> </w:t>
      </w:r>
      <w:r w:rsidR="003027E3" w:rsidRPr="006552E9">
        <w:br w:type="page"/>
      </w:r>
    </w:p>
    <w:p w:rsidR="003027E3" w:rsidRPr="006552E9" w:rsidRDefault="003027E3" w:rsidP="003027E3">
      <w:pPr>
        <w:pStyle w:val="Heading2"/>
      </w:pPr>
      <w:bookmarkStart w:id="38" w:name="_Toc373415017"/>
      <w:r w:rsidRPr="006552E9">
        <w:t>Outcome 3: New Zealanders experience high-quality arts</w:t>
      </w:r>
      <w:bookmarkEnd w:id="38"/>
    </w:p>
    <w:p w:rsidR="003027E3" w:rsidRPr="006552E9" w:rsidRDefault="003027E3" w:rsidP="003027E3">
      <w:pPr>
        <w:pStyle w:val="Heading3"/>
      </w:pPr>
      <w:bookmarkStart w:id="39" w:name="_Toc373415018"/>
      <w:r w:rsidRPr="006552E9">
        <w:t>Our stories from 2012/13</w:t>
      </w:r>
      <w:bookmarkEnd w:id="39"/>
    </w:p>
    <w:p w:rsidR="00D2420D" w:rsidRDefault="00D2420D" w:rsidP="00D2420D">
      <w:pPr>
        <w:pStyle w:val="Heading4"/>
      </w:pPr>
      <w:r>
        <w:t>Heart Strings Guitars fund music programme</w:t>
      </w:r>
    </w:p>
    <w:p w:rsidR="003027E3" w:rsidRDefault="005D6E4A" w:rsidP="00034B7D">
      <w:r>
        <w:rPr>
          <w:noProof/>
        </w:rPr>
        <w:pict>
          <v:shape id="_x0000_s1204" type="#_x0000_t202" style="position:absolute;left:0;text-align:left;margin-left:4.7pt;margin-top:202.65pt;width:287.05pt;height:33.75pt;z-index:251691008;mso-position-horizontal-relative:text;mso-position-vertical-relative:text" stroked="f">
            <v:textbox inset="0,0,0,0">
              <w:txbxContent>
                <w:p w:rsidR="005D6E4A" w:rsidRPr="007627BE" w:rsidRDefault="005D6E4A" w:rsidP="007627BE">
                  <w:pPr>
                    <w:pStyle w:val="Caption"/>
                  </w:pPr>
                  <w:r>
                    <w:t xml:space="preserve">Figure </w:t>
                  </w:r>
                  <w:fldSimple w:instr=" SEQ Figure \* ARABIC ">
                    <w:r>
                      <w:rPr>
                        <w:noProof/>
                      </w:rPr>
                      <w:t>13</w:t>
                    </w:r>
                  </w:fldSimple>
                  <w:r>
                    <w:t xml:space="preserve">: </w:t>
                  </w:r>
                  <w:r>
                    <w:rPr>
                      <w:rFonts w:cs="Calibri"/>
                    </w:rPr>
                    <w:t>Seven Heart Strings Guitars, each built from wood from historic buildings that fell in the earthquakes. Photo courtesy of Diederik Van Heyningen.</w:t>
                  </w:r>
                </w:p>
              </w:txbxContent>
            </v:textbox>
            <w10:wrap type="square"/>
          </v:shape>
        </w:pict>
      </w:r>
      <w:r w:rsidR="007627BE">
        <w:rPr>
          <w:noProof/>
        </w:rPr>
        <w:drawing>
          <wp:anchor distT="0" distB="0" distL="114300" distR="114300" simplePos="0" relativeHeight="251688960" behindDoc="0" locked="0" layoutInCell="0" allowOverlap="0" wp14:anchorId="03704686" wp14:editId="054E2706">
            <wp:simplePos x="0" y="0"/>
            <wp:positionH relativeFrom="margin">
              <wp:posOffset>12065</wp:posOffset>
            </wp:positionH>
            <wp:positionV relativeFrom="margin">
              <wp:posOffset>1262380</wp:posOffset>
            </wp:positionV>
            <wp:extent cx="3712210" cy="2476500"/>
            <wp:effectExtent l="0" t="0" r="0" b="0"/>
            <wp:wrapSquare wrapText="bothSides"/>
            <wp:docPr id="16" name="Picture 16" title="Picture of the seven Hearstrings guitars on stage, each built from wood from historic buildings that fell in the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Strings_1197 ReSTART program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2210" cy="2476500"/>
                    </a:xfrm>
                    <a:prstGeom prst="rect">
                      <a:avLst/>
                    </a:prstGeom>
                  </pic:spPr>
                </pic:pic>
              </a:graphicData>
            </a:graphic>
            <wp14:sizeRelH relativeFrom="margin">
              <wp14:pctWidth>0</wp14:pctWidth>
            </wp14:sizeRelH>
            <wp14:sizeRelV relativeFrom="margin">
              <wp14:pctHeight>0</wp14:pctHeight>
            </wp14:sizeRelV>
          </wp:anchor>
        </w:drawing>
      </w:r>
      <w:r w:rsidR="00D2420D">
        <w:t xml:space="preserve">Guitars made from wood donated by the owners of many historic and iconic Christchurch buildings that fell in the earthquakes raised a total of $111,000. Funds donated to Creative New Zealand by the Heart Strings organisation were awarded to Christchurch </w:t>
      </w:r>
      <w:r w:rsidR="0059357E">
        <w:t xml:space="preserve">arts </w:t>
      </w:r>
      <w:r w:rsidR="00D2420D">
        <w:t xml:space="preserve">advocacy </w:t>
      </w:r>
      <w:r w:rsidR="0059357E">
        <w:t xml:space="preserve">group, </w:t>
      </w:r>
      <w:r w:rsidR="00F640F7" w:rsidRPr="006552E9">
        <w:t xml:space="preserve">Arts Voice, </w:t>
      </w:r>
      <w:r w:rsidR="000C2F1E">
        <w:t xml:space="preserve">for the </w:t>
      </w:r>
      <w:r w:rsidR="000C2F1E" w:rsidRPr="006552E9">
        <w:t xml:space="preserve">monthly </w:t>
      </w:r>
      <w:r w:rsidR="00F640F7" w:rsidRPr="006552E9">
        <w:t xml:space="preserve">musical programme </w:t>
      </w:r>
      <w:r w:rsidR="006E2669" w:rsidRPr="006552E9">
        <w:t>for ReSTART</w:t>
      </w:r>
      <w:r w:rsidR="000C2F1E">
        <w:t>. (Artform –</w:t>
      </w:r>
      <w:r w:rsidR="006E2669" w:rsidRPr="006552E9">
        <w:t xml:space="preserve"> </w:t>
      </w:r>
      <w:r w:rsidR="000C2F1E">
        <w:t>music; location – Christchurch; funding –</w:t>
      </w:r>
      <w:r w:rsidR="006E2669" w:rsidRPr="006552E9">
        <w:t xml:space="preserve"> </w:t>
      </w:r>
      <w:r w:rsidR="000C2F1E" w:rsidRPr="006552E9">
        <w:t>Earthquake recovery grant</w:t>
      </w:r>
      <w:r w:rsidR="000C2F1E">
        <w:t>,</w:t>
      </w:r>
      <w:r w:rsidR="000C2F1E" w:rsidRPr="006552E9">
        <w:t xml:space="preserve"> </w:t>
      </w:r>
      <w:r w:rsidR="006E2669" w:rsidRPr="006552E9">
        <w:t>$50,000</w:t>
      </w:r>
      <w:r w:rsidR="00F640F7" w:rsidRPr="006552E9">
        <w:t xml:space="preserve">) </w:t>
      </w:r>
    </w:p>
    <w:p w:rsidR="007627BE" w:rsidRPr="006552E9" w:rsidRDefault="007627BE" w:rsidP="00034B7D"/>
    <w:p w:rsidR="00034B7D" w:rsidRDefault="00034B7D" w:rsidP="00034B7D">
      <w:pPr>
        <w:pStyle w:val="Heading4"/>
      </w:pPr>
      <w:r w:rsidRPr="00034B7D">
        <w:rPr>
          <w:i/>
        </w:rPr>
        <w:t>Ancestry</w:t>
      </w:r>
      <w:r>
        <w:t xml:space="preserve"> by Albert Wendt</w:t>
      </w:r>
    </w:p>
    <w:p w:rsidR="00034B7D" w:rsidRPr="00034B7D" w:rsidRDefault="00034B7D" w:rsidP="00034B7D">
      <w:r>
        <w:t xml:space="preserve">Albert Wendt’s 2012 collection of short stories, </w:t>
      </w:r>
      <w:r w:rsidRPr="0059357E">
        <w:rPr>
          <w:i/>
        </w:rPr>
        <w:t>Ancestry</w:t>
      </w:r>
      <w:r>
        <w:t xml:space="preserve">, was supported by a grant to </w:t>
      </w:r>
      <w:r w:rsidR="00A00ED0" w:rsidRPr="006552E9">
        <w:t>Huia Publi</w:t>
      </w:r>
      <w:r w:rsidR="00946DEE" w:rsidRPr="006552E9">
        <w:t>sher</w:t>
      </w:r>
      <w:r w:rsidR="00A00ED0" w:rsidRPr="006552E9">
        <w:t>s</w:t>
      </w:r>
      <w:r>
        <w:t>.</w:t>
      </w:r>
      <w:r w:rsidR="00B92908">
        <w:t xml:space="preserve"> </w:t>
      </w:r>
      <w:r>
        <w:t xml:space="preserve">The acclaimed Samoan-born writer </w:t>
      </w:r>
      <w:r w:rsidRPr="00034B7D">
        <w:t xml:space="preserve">has been an influential figure in the developments that have shaped New Zealand and Pacific literature since the 1970s and </w:t>
      </w:r>
      <w:r w:rsidR="0059357E">
        <w:t xml:space="preserve">he </w:t>
      </w:r>
      <w:r w:rsidRPr="00034B7D">
        <w:t>has won numerous awards for his works</w:t>
      </w:r>
      <w:r w:rsidR="00E2677A">
        <w:t>,</w:t>
      </w:r>
      <w:r w:rsidR="00E2677A" w:rsidRPr="00E2677A">
        <w:t xml:space="preserve"> </w:t>
      </w:r>
      <w:r w:rsidR="00E2677A">
        <w:t>including winning the Prime Minister’s Award for Literary Achievement in fiction in 2012</w:t>
      </w:r>
      <w:r>
        <w:t>. He was awarded New Zealand's highest honour, Member of the Order of New Zealand for services to New Zealand, in the 2013 Queens Birthday Honours.</w:t>
      </w:r>
      <w:r w:rsidRPr="00034B7D">
        <w:t xml:space="preserve"> </w:t>
      </w:r>
    </w:p>
    <w:p w:rsidR="00946DEE" w:rsidRPr="006552E9" w:rsidRDefault="005D6E4A" w:rsidP="00034B7D">
      <w:r>
        <w:rPr>
          <w:noProof/>
        </w:rPr>
        <w:pict>
          <v:shape id="_x0000_s1225" type="#_x0000_t202" style="position:absolute;left:0;text-align:left;margin-left:256.35pt;margin-top:146.8pt;width:195pt;height:.05pt;z-index:251694080;mso-position-horizontal-relative:text;mso-position-vertical-relative:text" stroked="f">
            <v:textbox style="mso-fit-shape-to-text:t" inset="0,0,0,0">
              <w:txbxContent>
                <w:p w:rsidR="005D6E4A" w:rsidRPr="001B1C77" w:rsidRDefault="005D6E4A" w:rsidP="002F6A04">
                  <w:pPr>
                    <w:pStyle w:val="Caption"/>
                    <w:rPr>
                      <w:i/>
                      <w:noProof/>
                      <w:szCs w:val="24"/>
                    </w:rPr>
                  </w:pPr>
                  <w:r>
                    <w:t xml:space="preserve">Figure </w:t>
                  </w:r>
                  <w:fldSimple w:instr=" SEQ Figure \* ARABIC ">
                    <w:r>
                      <w:rPr>
                        <w:noProof/>
                      </w:rPr>
                      <w:t>14</w:t>
                    </w:r>
                  </w:fldSimple>
                  <w:r>
                    <w:t xml:space="preserve">: </w:t>
                  </w:r>
                  <w:r w:rsidRPr="006D169B">
                    <w:t>Albert Wendt, Prime Minister’s Awards</w:t>
                  </w:r>
                  <w:r>
                    <w:t>,</w:t>
                  </w:r>
                  <w:r w:rsidRPr="006D169B">
                    <w:t xml:space="preserve"> 2012</w:t>
                  </w:r>
                  <w:r>
                    <w:t>.</w:t>
                  </w:r>
                  <w:r w:rsidRPr="006D169B">
                    <w:t xml:space="preserve"> Photo courtesy of Neil Mackenzie</w:t>
                  </w:r>
                  <w:r>
                    <w:t>.</w:t>
                  </w:r>
                </w:p>
              </w:txbxContent>
            </v:textbox>
            <w10:wrap type="square"/>
          </v:shape>
        </w:pict>
      </w:r>
      <w:r w:rsidR="002F6A04">
        <w:rPr>
          <w:i/>
          <w:noProof/>
        </w:rPr>
        <w:drawing>
          <wp:anchor distT="0" distB="0" distL="114300" distR="114300" simplePos="0" relativeHeight="251692032" behindDoc="0" locked="0" layoutInCell="0" allowOverlap="1" wp14:anchorId="0118D400" wp14:editId="3089AF89">
            <wp:simplePos x="914400" y="5553075"/>
            <wp:positionH relativeFrom="margin">
              <wp:align>right</wp:align>
            </wp:positionH>
            <wp:positionV relativeFrom="margin">
              <wp:posOffset>4536440</wp:posOffset>
            </wp:positionV>
            <wp:extent cx="2476800" cy="3218400"/>
            <wp:effectExtent l="0" t="0" r="0" b="0"/>
            <wp:wrapSquare wrapText="bothSides"/>
            <wp:docPr id="2" name="Picture 2" title="Photo of Albert Wendt at the 2012 Prime Minister's Awards for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Wendt 2012 PM Award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800" cy="3218400"/>
                    </a:xfrm>
                    <a:prstGeom prst="rect">
                      <a:avLst/>
                    </a:prstGeom>
                  </pic:spPr>
                </pic:pic>
              </a:graphicData>
            </a:graphic>
            <wp14:sizeRelH relativeFrom="margin">
              <wp14:pctWidth>0</wp14:pctWidth>
            </wp14:sizeRelH>
            <wp14:sizeRelV relativeFrom="margin">
              <wp14:pctHeight>0</wp14:pctHeight>
            </wp14:sizeRelV>
          </wp:anchor>
        </w:drawing>
      </w:r>
      <w:r w:rsidR="00034B7D">
        <w:t>(</w:t>
      </w:r>
      <w:r w:rsidR="00560BED">
        <w:t xml:space="preserve">Artform </w:t>
      </w:r>
      <w:r w:rsidR="00560BED" w:rsidRPr="00560BED">
        <w:softHyphen/>
      </w:r>
      <w:r w:rsidR="00560BED">
        <w:t xml:space="preserve">– literature; funding – </w:t>
      </w:r>
      <w:r w:rsidR="00560BED" w:rsidRPr="00560BED">
        <w:t>quick</w:t>
      </w:r>
      <w:r w:rsidR="00560BED" w:rsidRPr="006552E9">
        <w:t xml:space="preserve"> response</w:t>
      </w:r>
      <w:r w:rsidR="00946DEE" w:rsidRPr="006552E9">
        <w:t>, $3,000</w:t>
      </w:r>
      <w:r w:rsidR="00560BED">
        <w:t>)</w:t>
      </w:r>
    </w:p>
    <w:p w:rsidR="003027E3" w:rsidRPr="006552E9" w:rsidRDefault="003027E3" w:rsidP="002F6A04">
      <w:pPr>
        <w:pStyle w:val="Heading3"/>
      </w:pPr>
      <w:bookmarkStart w:id="40" w:name="_Toc373415019"/>
      <w:r w:rsidRPr="006552E9">
        <w:t>What we were seeking to achieve</w:t>
      </w:r>
      <w:bookmarkEnd w:id="40"/>
      <w:r w:rsidRPr="006552E9">
        <w:t xml:space="preserve"> </w:t>
      </w:r>
    </w:p>
    <w:p w:rsidR="003027E3" w:rsidRPr="006552E9" w:rsidRDefault="003027E3" w:rsidP="002F6A04">
      <w:pPr>
        <w:keepNext/>
      </w:pPr>
      <w:r w:rsidRPr="006552E9">
        <w:t>Audiences are vital to a vibrant arts sector.</w:t>
      </w:r>
      <w:r w:rsidR="00175E6D" w:rsidRPr="006552E9">
        <w:t xml:space="preserve"> </w:t>
      </w:r>
      <w:r w:rsidRPr="006552E9">
        <w:t>Creative New Zealand aims to broaden the opportunities for all New Zealanders to experience the arts, providing them with access to a diverse range of artistic experiences.</w:t>
      </w:r>
    </w:p>
    <w:p w:rsidR="003027E3" w:rsidRPr="006552E9" w:rsidRDefault="003027E3" w:rsidP="003027E3">
      <w:pPr>
        <w:pStyle w:val="Heading3"/>
      </w:pPr>
      <w:bookmarkStart w:id="41" w:name="_Toc373415020"/>
      <w:r w:rsidRPr="006552E9">
        <w:t>What we did</w:t>
      </w:r>
      <w:bookmarkEnd w:id="41"/>
    </w:p>
    <w:p w:rsidR="003027E3" w:rsidRPr="006552E9" w:rsidRDefault="003027E3" w:rsidP="003027E3">
      <w:r w:rsidRPr="006552E9">
        <w:t>We supported arts organisations to provide high-quality arts experiences across the country and across all artforms through the Tōtara and Kahikatea investment programmes ($13.6 million) and through the Grants and special opportunities and Earthquake funding programmes (100 grants worth $1.9 million).</w:t>
      </w:r>
      <w:r w:rsidR="00175E6D" w:rsidRPr="006552E9">
        <w:t xml:space="preserve"> </w:t>
      </w:r>
      <w:r w:rsidRPr="006552E9">
        <w:t>This included $400,000 in grants to three regional consortia to support touring events in Northland, the central North Island and the top of the South Island.</w:t>
      </w:r>
    </w:p>
    <w:p w:rsidR="003027E3" w:rsidRDefault="003027E3" w:rsidP="003027E3">
      <w:r w:rsidRPr="006552E9">
        <w:t>We provided targeted capability building initiatives to help artists, arts practitioners and arts organisations to address identified development needs.</w:t>
      </w:r>
      <w:r w:rsidR="00175E6D" w:rsidRPr="006552E9">
        <w:t xml:space="preserve"> </w:t>
      </w:r>
      <w:r w:rsidRPr="006552E9">
        <w:t xml:space="preserve">The organisations </w:t>
      </w:r>
      <w:r w:rsidR="0059357E">
        <w:t>that</w:t>
      </w:r>
      <w:r w:rsidRPr="006552E9">
        <w:t xml:space="preserve"> participated in the capability building initiatives increased their overall capability by 7</w:t>
      </w:r>
      <w:r w:rsidR="0016706E">
        <w:t xml:space="preserve"> percent</w:t>
      </w:r>
      <w:r w:rsidRPr="006552E9">
        <w:t xml:space="preserve"> with the highest increases shown in audience development/client engagement (27</w:t>
      </w:r>
      <w:r w:rsidR="0016706E">
        <w:t xml:space="preserve"> percent</w:t>
      </w:r>
      <w:r w:rsidRPr="006552E9">
        <w:t>), fundraising (33</w:t>
      </w:r>
      <w:r w:rsidR="0016706E">
        <w:t xml:space="preserve"> percent</w:t>
      </w:r>
      <w:r w:rsidRPr="006552E9">
        <w:t>) and risk management planning (26</w:t>
      </w:r>
      <w:r w:rsidR="0016706E">
        <w:t xml:space="preserve"> percent</w:t>
      </w:r>
      <w:r w:rsidRPr="006552E9">
        <w:t>).</w:t>
      </w:r>
      <w:r w:rsidRPr="006552E9">
        <w:rPr>
          <w:rStyle w:val="FootnoteReference"/>
        </w:rPr>
        <w:footnoteReference w:id="16"/>
      </w:r>
    </w:p>
    <w:p w:rsidR="00384555" w:rsidRPr="006552E9" w:rsidRDefault="00384555" w:rsidP="003027E3">
      <w:r w:rsidRPr="0059357E">
        <w:rPr>
          <w:rFonts w:cs="Tahoma"/>
        </w:rPr>
        <w:t xml:space="preserve">Figure </w:t>
      </w:r>
      <w:r w:rsidR="0059357E" w:rsidRPr="0059357E">
        <w:rPr>
          <w:rFonts w:cs="Tahoma"/>
        </w:rPr>
        <w:t>1</w:t>
      </w:r>
      <w:r w:rsidR="00DE3684">
        <w:rPr>
          <w:rFonts w:cs="Tahoma"/>
        </w:rPr>
        <w:t>5</w:t>
      </w:r>
      <w:r w:rsidRPr="0059357E">
        <w:rPr>
          <w:rFonts w:cs="Tahoma"/>
        </w:rPr>
        <w:t xml:space="preserve"> shows how the investment in outcome 3 has developed over the past four years, in terms of contributions from the different funding programmes and total expenditure.</w:t>
      </w:r>
    </w:p>
    <w:p w:rsidR="006E2669" w:rsidRPr="006552E9" w:rsidRDefault="005D6E4A" w:rsidP="00701B57">
      <w:r>
        <w:pict>
          <v:shape id="_x0000_i1033" type="#_x0000_t75" alt="Stacked bar chart showing the funding for outcome 3 by programme and year:&#10;&#10;Programme 2009/10 2010/11 2011/12 2012/13&#10;Tōtara programme (was RFOs)  $12,211,675   $11,368,358   $7,073,373   $7,115,423 &#10;Kahikatea programme  $-     $-     $6,159,679   $6,532,317 &#10;Grants &amp; special opportunities  $1,811,275   $2,764,422   $1,690,360   $1,699,046 &#10;Capability building  $408,014   $602,928   $596,530   $995,856 &#10;Earthquake fund  $-     $533,782   $279,313   $232,728 &#10;Advocacy  $-     $55,882   $146,689   $2,650 &#10;Total funding  $14,430,965   $15,325,373   $15,945,944   $16,578,020 &#10;" style="width:297.4pt;height:249.8pt;mso-position-vertical:absolute">
            <v:imagedata r:id="rId32"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15</w:t>
      </w:r>
      <w:r w:rsidR="006E1B57" w:rsidRPr="006552E9">
        <w:fldChar w:fldCharType="end"/>
      </w:r>
      <w:r w:rsidRPr="006552E9">
        <w:t xml:space="preserve">: Outcome 3, </w:t>
      </w:r>
      <w:r w:rsidR="0059357E">
        <w:t>investment</w:t>
      </w:r>
      <w:r w:rsidRPr="006552E9">
        <w:t xml:space="preserve"> by programme, 2009/10 to 2012/13</w:t>
      </w:r>
    </w:p>
    <w:p w:rsidR="003027E3" w:rsidRPr="006552E9" w:rsidRDefault="003027E3" w:rsidP="006E2669">
      <w:pPr>
        <w:pStyle w:val="Heading3"/>
      </w:pPr>
      <w:bookmarkStart w:id="42" w:name="_Toc373415021"/>
      <w:r w:rsidRPr="006552E9">
        <w:t>How we performed</w:t>
      </w:r>
      <w:bookmarkEnd w:id="42"/>
    </w:p>
    <w:p w:rsidR="003027E3" w:rsidRPr="006552E9" w:rsidRDefault="003027E3" w:rsidP="006E2669">
      <w:pPr>
        <w:keepNext/>
      </w:pPr>
    </w:p>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3</w:t>
      </w:r>
      <w:r w:rsidR="006E1B57" w:rsidRPr="006552E9">
        <w:fldChar w:fldCharType="end"/>
      </w:r>
      <w:r w:rsidRPr="006552E9">
        <w:t>: Proof of performance, Outcome 3, 2009/10 to 2012/13</w:t>
      </w:r>
    </w:p>
    <w:tbl>
      <w:tblPr>
        <w:tblW w:w="9569" w:type="dxa"/>
        <w:tblInd w:w="93" w:type="dxa"/>
        <w:tblLayout w:type="fixed"/>
        <w:tblCellMar>
          <w:top w:w="28" w:type="dxa"/>
          <w:left w:w="28" w:type="dxa"/>
          <w:bottom w:w="28" w:type="dxa"/>
          <w:right w:w="28" w:type="dxa"/>
        </w:tblCellMar>
        <w:tblLook w:val="04A0" w:firstRow="1" w:lastRow="0" w:firstColumn="1" w:lastColumn="0" w:noHBand="0" w:noVBand="1"/>
      </w:tblPr>
      <w:tblGrid>
        <w:gridCol w:w="1149"/>
        <w:gridCol w:w="1276"/>
        <w:gridCol w:w="912"/>
        <w:gridCol w:w="942"/>
        <w:gridCol w:w="1043"/>
        <w:gridCol w:w="992"/>
        <w:gridCol w:w="992"/>
        <w:gridCol w:w="709"/>
        <w:gridCol w:w="1554"/>
      </w:tblGrid>
      <w:tr w:rsidR="00B61A79" w:rsidRPr="00B61A79" w:rsidTr="0059357E">
        <w:trPr>
          <w:trHeight w:val="255"/>
          <w:tblHeader/>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000000" w:fill="B8CCE4"/>
            <w:noWrap/>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2897"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Past years</w:t>
            </w:r>
          </w:p>
        </w:tc>
        <w:tc>
          <w:tcPr>
            <w:tcW w:w="4247"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Current year</w:t>
            </w:r>
          </w:p>
        </w:tc>
      </w:tr>
      <w:tr w:rsidR="00B61A79" w:rsidRPr="00B61A79" w:rsidTr="0059357E">
        <w:trPr>
          <w:trHeight w:val="810"/>
          <w:tblHeader/>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B61A79" w:rsidRPr="00B61A79" w:rsidRDefault="00B61A79" w:rsidP="00B61A79">
            <w:pPr>
              <w:spacing w:before="0"/>
              <w:contextualSpacing/>
              <w:jc w:val="left"/>
              <w:rPr>
                <w:rFonts w:ascii="Arial Narrow" w:hAnsi="Arial Narrow"/>
                <w:b/>
                <w:bCs/>
                <w:color w:val="000000"/>
                <w:sz w:val="18"/>
                <w:szCs w:val="18"/>
              </w:rPr>
            </w:pPr>
          </w:p>
        </w:tc>
        <w:tc>
          <w:tcPr>
            <w:tcW w:w="912" w:type="dxa"/>
            <w:tcBorders>
              <w:top w:val="nil"/>
              <w:left w:val="nil"/>
              <w:bottom w:val="single" w:sz="4" w:space="0" w:color="auto"/>
              <w:right w:val="single" w:sz="4" w:space="0" w:color="auto"/>
            </w:tcBorders>
            <w:shd w:val="clear" w:color="000000" w:fill="B8CCE4"/>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2009/10 Actual</w:t>
            </w:r>
          </w:p>
        </w:tc>
        <w:tc>
          <w:tcPr>
            <w:tcW w:w="942" w:type="dxa"/>
            <w:tcBorders>
              <w:top w:val="nil"/>
              <w:left w:val="nil"/>
              <w:bottom w:val="single" w:sz="4" w:space="0" w:color="auto"/>
              <w:right w:val="single" w:sz="4" w:space="0" w:color="auto"/>
            </w:tcBorders>
            <w:shd w:val="clear" w:color="000000" w:fill="B8CCE4"/>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2010/11 Actual</w:t>
            </w:r>
          </w:p>
        </w:tc>
        <w:tc>
          <w:tcPr>
            <w:tcW w:w="1043" w:type="dxa"/>
            <w:tcBorders>
              <w:top w:val="nil"/>
              <w:left w:val="nil"/>
              <w:bottom w:val="single" w:sz="4" w:space="0" w:color="auto"/>
              <w:right w:val="nil"/>
            </w:tcBorders>
            <w:shd w:val="clear" w:color="000000" w:fill="B8CCE4"/>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xml:space="preserve">2011/12 Actual </w:t>
            </w:r>
          </w:p>
        </w:tc>
        <w:tc>
          <w:tcPr>
            <w:tcW w:w="992" w:type="dxa"/>
            <w:tcBorders>
              <w:top w:val="nil"/>
              <w:left w:val="single" w:sz="4" w:space="0" w:color="auto"/>
              <w:bottom w:val="single" w:sz="4" w:space="0" w:color="auto"/>
              <w:right w:val="single" w:sz="4" w:space="0" w:color="auto"/>
            </w:tcBorders>
            <w:shd w:val="clear" w:color="000000" w:fill="B8CCE4"/>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2012/13 Forecast</w:t>
            </w:r>
          </w:p>
        </w:tc>
        <w:tc>
          <w:tcPr>
            <w:tcW w:w="992" w:type="dxa"/>
            <w:tcBorders>
              <w:top w:val="nil"/>
              <w:left w:val="nil"/>
              <w:bottom w:val="single" w:sz="4" w:space="0" w:color="auto"/>
              <w:right w:val="nil"/>
            </w:tcBorders>
            <w:shd w:val="clear" w:color="000000" w:fill="B8CCE4"/>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2012/13 Actual</w:t>
            </w:r>
          </w:p>
        </w:tc>
        <w:tc>
          <w:tcPr>
            <w:tcW w:w="709" w:type="dxa"/>
            <w:tcBorders>
              <w:top w:val="nil"/>
              <w:left w:val="single" w:sz="4" w:space="0" w:color="auto"/>
              <w:bottom w:val="nil"/>
              <w:right w:val="single" w:sz="4" w:space="0" w:color="auto"/>
            </w:tcBorders>
            <w:shd w:val="clear" w:color="000000" w:fill="B8CCE4"/>
            <w:vAlign w:val="center"/>
            <w:hideMark/>
          </w:tcPr>
          <w:p w:rsidR="00B61A79" w:rsidRPr="00B61A79" w:rsidRDefault="00B61A79" w:rsidP="0059357E">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xml:space="preserve">Variance to </w:t>
            </w:r>
            <w:r w:rsidR="0059357E">
              <w:rPr>
                <w:rFonts w:ascii="Arial Narrow" w:hAnsi="Arial Narrow"/>
                <w:b/>
                <w:bCs/>
                <w:color w:val="000000"/>
                <w:sz w:val="18"/>
                <w:szCs w:val="18"/>
              </w:rPr>
              <w:t>f</w:t>
            </w:r>
            <w:r w:rsidRPr="00B61A79">
              <w:rPr>
                <w:rFonts w:ascii="Arial Narrow" w:hAnsi="Arial Narrow"/>
                <w:b/>
                <w:bCs/>
                <w:color w:val="000000"/>
                <w:sz w:val="18"/>
                <w:szCs w:val="18"/>
              </w:rPr>
              <w:t>orecast (+/</w:t>
            </w:r>
            <w:r w:rsidR="0059357E">
              <w:rPr>
                <w:rFonts w:ascii="Arial Narrow" w:hAnsi="Arial Narrow"/>
                <w:b/>
                <w:bCs/>
                <w:color w:val="000000"/>
                <w:sz w:val="18"/>
                <w:szCs w:val="18"/>
              </w:rPr>
              <w:t>–</w:t>
            </w:r>
            <w:r w:rsidRPr="00B61A79">
              <w:rPr>
                <w:rFonts w:ascii="Arial Narrow" w:hAnsi="Arial Narrow"/>
                <w:b/>
                <w:bCs/>
                <w:color w:val="000000"/>
                <w:sz w:val="18"/>
                <w:szCs w:val="18"/>
              </w:rPr>
              <w:t>%)</w:t>
            </w:r>
          </w:p>
        </w:tc>
        <w:tc>
          <w:tcPr>
            <w:tcW w:w="1554" w:type="dxa"/>
            <w:tcBorders>
              <w:top w:val="nil"/>
              <w:left w:val="nil"/>
              <w:bottom w:val="single" w:sz="4" w:space="0" w:color="auto"/>
              <w:right w:val="single" w:sz="4" w:space="0" w:color="auto"/>
            </w:tcBorders>
            <w:shd w:val="clear" w:color="000000" w:fill="B8CCE4"/>
            <w:vAlign w:val="center"/>
            <w:hideMark/>
          </w:tcPr>
          <w:p w:rsidR="00B61A79" w:rsidRPr="00B61A79" w:rsidRDefault="00B61A79" w:rsidP="00B61A79">
            <w:pPr>
              <w:spacing w:before="0"/>
              <w:contextualSpacing/>
              <w:jc w:val="left"/>
              <w:rPr>
                <w:rFonts w:ascii="Arial Narrow" w:hAnsi="Arial Narrow"/>
                <w:b/>
                <w:bCs/>
                <w:color w:val="000000"/>
                <w:sz w:val="18"/>
                <w:szCs w:val="18"/>
              </w:rPr>
            </w:pPr>
            <w:r w:rsidRPr="00B61A79">
              <w:rPr>
                <w:rFonts w:ascii="Arial Narrow" w:hAnsi="Arial Narrow"/>
                <w:b/>
                <w:bCs/>
                <w:color w:val="000000"/>
                <w:sz w:val="18"/>
                <w:szCs w:val="18"/>
              </w:rPr>
              <w:t>Notes</w:t>
            </w:r>
          </w:p>
        </w:tc>
      </w:tr>
      <w:tr w:rsidR="00B61A79" w:rsidRPr="00B61A79" w:rsidTr="0059357E">
        <w:trPr>
          <w:trHeight w:val="255"/>
        </w:trPr>
        <w:tc>
          <w:tcPr>
            <w:tcW w:w="1149" w:type="dxa"/>
            <w:tcBorders>
              <w:top w:val="nil"/>
              <w:left w:val="single" w:sz="4" w:space="0" w:color="auto"/>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b/>
                <w:bCs/>
                <w:color w:val="000000"/>
                <w:sz w:val="18"/>
                <w:szCs w:val="18"/>
              </w:rPr>
            </w:pPr>
            <w:r w:rsidRPr="00B61A79">
              <w:rPr>
                <w:rFonts w:ascii="Arial Narrow" w:hAnsi="Arial Narrow"/>
                <w:b/>
                <w:bCs/>
                <w:color w:val="000000"/>
                <w:sz w:val="18"/>
                <w:szCs w:val="18"/>
              </w:rPr>
              <w:t>Investment</w:t>
            </w:r>
          </w:p>
        </w:tc>
        <w:tc>
          <w:tcPr>
            <w:tcW w:w="1276" w:type="dxa"/>
            <w:tcBorders>
              <w:top w:val="nil"/>
              <w:left w:val="nil"/>
              <w:bottom w:val="nil"/>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12"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942"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1043"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992"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992"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709" w:type="dxa"/>
            <w:tcBorders>
              <w:top w:val="single" w:sz="4" w:space="0" w:color="auto"/>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c>
          <w:tcPr>
            <w:tcW w:w="1554" w:type="dxa"/>
            <w:tcBorders>
              <w:top w:val="nil"/>
              <w:left w:val="nil"/>
              <w:bottom w:val="single" w:sz="4" w:space="0" w:color="auto"/>
              <w:right w:val="single" w:sz="4" w:space="0" w:color="auto"/>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 </w:t>
            </w:r>
          </w:p>
        </w:tc>
      </w:tr>
      <w:tr w:rsidR="00B61A79" w:rsidRPr="00B61A79" w:rsidTr="0059357E">
        <w:trPr>
          <w:trHeight w:val="270"/>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Total investment</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B61A79">
              <w:rPr>
                <w:rFonts w:ascii="Arial Narrow" w:hAnsi="Arial Narrow"/>
                <w:color w:val="000000"/>
                <w:sz w:val="18"/>
                <w:szCs w:val="18"/>
              </w:rPr>
              <w:t xml:space="preserve"> all programmes</w:t>
            </w:r>
          </w:p>
        </w:tc>
        <w:tc>
          <w:tcPr>
            <w:tcW w:w="912" w:type="dxa"/>
            <w:tcBorders>
              <w:top w:val="nil"/>
              <w:left w:val="nil"/>
              <w:bottom w:val="nil"/>
              <w:right w:val="single" w:sz="4" w:space="0" w:color="auto"/>
            </w:tcBorders>
            <w:shd w:val="clear" w:color="auto" w:fill="auto"/>
            <w:noWrap/>
            <w:vAlign w:val="center"/>
            <w:hideMark/>
          </w:tcPr>
          <w:p w:rsidR="00B61A79" w:rsidRPr="00B61A79" w:rsidRDefault="00701B57" w:rsidP="00701B57">
            <w:pPr>
              <w:spacing w:before="0"/>
              <w:contextualSpacing/>
              <w:jc w:val="left"/>
              <w:rPr>
                <w:rFonts w:ascii="Arial Narrow" w:hAnsi="Arial Narrow"/>
                <w:color w:val="000000"/>
                <w:sz w:val="18"/>
                <w:szCs w:val="18"/>
              </w:rPr>
            </w:pPr>
            <w:r>
              <w:rPr>
                <w:rFonts w:ascii="Arial Narrow" w:hAnsi="Arial Narrow"/>
                <w:color w:val="000000"/>
                <w:sz w:val="18"/>
                <w:szCs w:val="18"/>
              </w:rPr>
              <w:t>$</w:t>
            </w:r>
            <w:r w:rsidR="00B61A79" w:rsidRPr="00B61A79">
              <w:rPr>
                <w:rFonts w:ascii="Arial Narrow" w:hAnsi="Arial Narrow"/>
                <w:color w:val="000000"/>
                <w:sz w:val="18"/>
                <w:szCs w:val="18"/>
              </w:rPr>
              <w:t>14,430,965</w:t>
            </w:r>
          </w:p>
        </w:tc>
        <w:tc>
          <w:tcPr>
            <w:tcW w:w="942" w:type="dxa"/>
            <w:tcBorders>
              <w:top w:val="nil"/>
              <w:left w:val="nil"/>
              <w:bottom w:val="nil"/>
              <w:right w:val="single" w:sz="4" w:space="0" w:color="auto"/>
            </w:tcBorders>
            <w:shd w:val="clear" w:color="auto" w:fill="auto"/>
            <w:noWrap/>
            <w:vAlign w:val="center"/>
            <w:hideMark/>
          </w:tcPr>
          <w:p w:rsidR="00B61A79" w:rsidRPr="00B61A79" w:rsidRDefault="00701B57" w:rsidP="00701B57">
            <w:pPr>
              <w:spacing w:before="0"/>
              <w:contextualSpacing/>
              <w:jc w:val="left"/>
              <w:rPr>
                <w:rFonts w:ascii="Arial Narrow" w:hAnsi="Arial Narrow"/>
                <w:color w:val="000000"/>
                <w:sz w:val="18"/>
                <w:szCs w:val="18"/>
              </w:rPr>
            </w:pPr>
            <w:r>
              <w:rPr>
                <w:rFonts w:ascii="Arial Narrow" w:hAnsi="Arial Narrow"/>
                <w:color w:val="000000"/>
                <w:sz w:val="18"/>
                <w:szCs w:val="18"/>
              </w:rPr>
              <w:t>$</w:t>
            </w:r>
            <w:r w:rsidR="00B61A79" w:rsidRPr="00B61A79">
              <w:rPr>
                <w:rFonts w:ascii="Arial Narrow" w:hAnsi="Arial Narrow"/>
                <w:color w:val="000000"/>
                <w:sz w:val="18"/>
                <w:szCs w:val="18"/>
              </w:rPr>
              <w:t>15,325,373</w:t>
            </w:r>
          </w:p>
        </w:tc>
        <w:tc>
          <w:tcPr>
            <w:tcW w:w="1043" w:type="dxa"/>
            <w:tcBorders>
              <w:top w:val="nil"/>
              <w:left w:val="nil"/>
              <w:bottom w:val="nil"/>
              <w:right w:val="single" w:sz="4" w:space="0" w:color="auto"/>
            </w:tcBorders>
            <w:shd w:val="clear" w:color="auto" w:fill="auto"/>
            <w:noWrap/>
            <w:vAlign w:val="center"/>
            <w:hideMark/>
          </w:tcPr>
          <w:p w:rsidR="00B61A79" w:rsidRPr="00B61A79" w:rsidRDefault="00B61A79" w:rsidP="00701B57">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$15,945,944</w:t>
            </w:r>
          </w:p>
        </w:tc>
        <w:tc>
          <w:tcPr>
            <w:tcW w:w="992" w:type="dxa"/>
            <w:tcBorders>
              <w:top w:val="nil"/>
              <w:left w:val="nil"/>
              <w:bottom w:val="nil"/>
              <w:right w:val="single" w:sz="4" w:space="0" w:color="auto"/>
            </w:tcBorders>
            <w:shd w:val="clear" w:color="auto" w:fill="auto"/>
            <w:noWrap/>
            <w:vAlign w:val="center"/>
            <w:hideMark/>
          </w:tcPr>
          <w:p w:rsidR="00B61A79" w:rsidRPr="00B61A79" w:rsidRDefault="00B61A79" w:rsidP="00701B57">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$16,975,651</w:t>
            </w:r>
          </w:p>
        </w:tc>
        <w:tc>
          <w:tcPr>
            <w:tcW w:w="992" w:type="dxa"/>
            <w:tcBorders>
              <w:top w:val="nil"/>
              <w:left w:val="nil"/>
              <w:bottom w:val="nil"/>
              <w:right w:val="single" w:sz="4" w:space="0" w:color="auto"/>
            </w:tcBorders>
            <w:shd w:val="clear" w:color="auto" w:fill="auto"/>
            <w:noWrap/>
            <w:vAlign w:val="center"/>
            <w:hideMark/>
          </w:tcPr>
          <w:p w:rsidR="00B61A79" w:rsidRPr="00B61A79" w:rsidRDefault="00B61A79" w:rsidP="00701B57">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$16,578,020</w:t>
            </w:r>
          </w:p>
        </w:tc>
        <w:tc>
          <w:tcPr>
            <w:tcW w:w="709" w:type="dxa"/>
            <w:tcBorders>
              <w:top w:val="nil"/>
              <w:left w:val="nil"/>
              <w:bottom w:val="nil"/>
              <w:right w:val="single" w:sz="4" w:space="0" w:color="auto"/>
            </w:tcBorders>
            <w:shd w:val="clear" w:color="auto" w:fill="auto"/>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(2%)</w:t>
            </w:r>
          </w:p>
        </w:tc>
        <w:tc>
          <w:tcPr>
            <w:tcW w:w="1554" w:type="dxa"/>
            <w:tcBorders>
              <w:top w:val="nil"/>
              <w:left w:val="nil"/>
              <w:bottom w:val="nil"/>
              <w:right w:val="single" w:sz="4" w:space="0" w:color="auto"/>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r>
      <w:tr w:rsidR="00B61A79" w:rsidRPr="00B61A79" w:rsidTr="0059357E">
        <w:trPr>
          <w:trHeight w:val="255"/>
        </w:trPr>
        <w:tc>
          <w:tcPr>
            <w:tcW w:w="1149" w:type="dxa"/>
            <w:tcBorders>
              <w:top w:val="nil"/>
              <w:left w:val="single" w:sz="4" w:space="0" w:color="auto"/>
              <w:bottom w:val="single" w:sz="4" w:space="0" w:color="auto"/>
              <w:right w:val="single" w:sz="4" w:space="0" w:color="auto"/>
            </w:tcBorders>
            <w:shd w:val="clear" w:color="000000" w:fill="DCE6F1"/>
            <w:noWrap/>
            <w:vAlign w:val="center"/>
            <w:hideMark/>
          </w:tcPr>
          <w:p w:rsidR="00B61A79" w:rsidRPr="00B61A79" w:rsidRDefault="00B61A79" w:rsidP="00B61A79">
            <w:pPr>
              <w:spacing w:before="0"/>
              <w:contextualSpacing/>
              <w:jc w:val="left"/>
              <w:rPr>
                <w:rFonts w:ascii="Arial Narrow" w:hAnsi="Arial Narrow"/>
                <w:b/>
                <w:bCs/>
                <w:color w:val="000000"/>
                <w:sz w:val="18"/>
                <w:szCs w:val="18"/>
              </w:rPr>
            </w:pPr>
            <w:r w:rsidRPr="00B61A79">
              <w:rPr>
                <w:rFonts w:ascii="Arial Narrow" w:hAnsi="Arial Narrow"/>
                <w:b/>
                <w:bCs/>
                <w:color w:val="000000"/>
                <w:sz w:val="18"/>
                <w:szCs w:val="18"/>
              </w:rPr>
              <w:t>Impact</w:t>
            </w:r>
          </w:p>
        </w:tc>
        <w:tc>
          <w:tcPr>
            <w:tcW w:w="1276"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Measure</w:t>
            </w:r>
          </w:p>
        </w:tc>
        <w:tc>
          <w:tcPr>
            <w:tcW w:w="912"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42"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1043"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92"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92"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709" w:type="dxa"/>
            <w:tcBorders>
              <w:top w:val="single" w:sz="4" w:space="0" w:color="auto"/>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1554" w:type="dxa"/>
            <w:tcBorders>
              <w:top w:val="single" w:sz="4" w:space="0" w:color="auto"/>
              <w:left w:val="nil"/>
              <w:bottom w:val="single" w:sz="4" w:space="0" w:color="auto"/>
              <w:right w:val="single" w:sz="4" w:space="0" w:color="auto"/>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r>
      <w:tr w:rsidR="00B61A79" w:rsidRPr="00B61A79" w:rsidTr="0059357E">
        <w:tc>
          <w:tcPr>
            <w:tcW w:w="1149" w:type="dxa"/>
            <w:tcBorders>
              <w:top w:val="nil"/>
              <w:left w:val="single" w:sz="4" w:space="0" w:color="auto"/>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i/>
                <w:iCs/>
                <w:color w:val="000000"/>
                <w:sz w:val="18"/>
                <w:szCs w:val="18"/>
              </w:rPr>
            </w:pPr>
            <w:r w:rsidRPr="00B61A79">
              <w:rPr>
                <w:rFonts w:ascii="Arial Narrow" w:hAnsi="Arial Narrow"/>
                <w:i/>
                <w:iCs/>
                <w:color w:val="000000"/>
                <w:sz w:val="18"/>
                <w:szCs w:val="18"/>
              </w:rPr>
              <w:t>Delivery of the arts</w:t>
            </w:r>
          </w:p>
        </w:tc>
        <w:tc>
          <w:tcPr>
            <w:tcW w:w="1276"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59357E">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xml:space="preserve">Geographic distribution of arts experiences delivered: Numbers of performances and total </w:t>
            </w:r>
            <w:r w:rsidR="0059357E">
              <w:rPr>
                <w:rFonts w:ascii="Arial Narrow" w:hAnsi="Arial Narrow"/>
                <w:color w:val="000000"/>
                <w:sz w:val="18"/>
                <w:szCs w:val="18"/>
              </w:rPr>
              <w:t>dollar</w:t>
            </w:r>
            <w:r w:rsidRPr="00B61A79">
              <w:rPr>
                <w:rFonts w:ascii="Arial Narrow" w:hAnsi="Arial Narrow"/>
                <w:color w:val="000000"/>
                <w:sz w:val="18"/>
                <w:szCs w:val="18"/>
              </w:rPr>
              <w:t xml:space="preserve"> value of investment by region</w:t>
            </w:r>
          </w:p>
        </w:tc>
        <w:tc>
          <w:tcPr>
            <w:tcW w:w="185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w:t>
            </w:r>
          </w:p>
        </w:tc>
        <w:tc>
          <w:tcPr>
            <w:tcW w:w="1043"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4,862</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3,700 total presentations</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5,869</w:t>
            </w:r>
          </w:p>
        </w:tc>
        <w:tc>
          <w:tcPr>
            <w:tcW w:w="709"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59%</w:t>
            </w:r>
          </w:p>
        </w:tc>
        <w:tc>
          <w:tcPr>
            <w:tcW w:w="1554"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59357E">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Forecast number of presentations significantly exceeded. Forecasts for 2013/14 and out years have been increased</w:t>
            </w:r>
            <w:r w:rsidRPr="00B61A79">
              <w:rPr>
                <w:rFonts w:ascii="Arial Narrow" w:hAnsi="Arial Narrow"/>
                <w:color w:val="000000"/>
                <w:sz w:val="18"/>
                <w:szCs w:val="18"/>
              </w:rPr>
              <w:br/>
            </w:r>
            <w:r w:rsidRPr="00B61A79">
              <w:rPr>
                <w:rFonts w:ascii="Arial Narrow" w:hAnsi="Arial Narrow"/>
                <w:color w:val="000000"/>
                <w:sz w:val="18"/>
                <w:szCs w:val="18"/>
              </w:rPr>
              <w:br/>
              <w:t xml:space="preserve">See Figure 4 for </w:t>
            </w:r>
            <w:r w:rsidR="0059357E">
              <w:rPr>
                <w:rFonts w:ascii="Arial Narrow" w:hAnsi="Arial Narrow"/>
                <w:color w:val="000000"/>
                <w:sz w:val="18"/>
                <w:szCs w:val="18"/>
              </w:rPr>
              <w:t xml:space="preserve">dollars </w:t>
            </w:r>
            <w:r w:rsidRPr="00B61A79">
              <w:rPr>
                <w:rFonts w:ascii="Arial Narrow" w:hAnsi="Arial Narrow"/>
                <w:color w:val="000000"/>
                <w:sz w:val="18"/>
                <w:szCs w:val="18"/>
              </w:rPr>
              <w:t>invested by region</w:t>
            </w:r>
          </w:p>
        </w:tc>
      </w:tr>
      <w:tr w:rsidR="00B61A79" w:rsidRPr="00B61A79" w:rsidTr="0059357E">
        <w:trPr>
          <w:trHeight w:val="270"/>
        </w:trPr>
        <w:tc>
          <w:tcPr>
            <w:tcW w:w="114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i/>
                <w:iCs/>
                <w:color w:val="000000"/>
                <w:sz w:val="18"/>
                <w:szCs w:val="18"/>
              </w:rPr>
            </w:pPr>
            <w:r w:rsidRPr="00B61A79">
              <w:rPr>
                <w:rFonts w:ascii="Arial Narrow" w:hAnsi="Arial Narrow"/>
                <w:i/>
                <w:iCs/>
                <w:color w:val="000000"/>
                <w:sz w:val="18"/>
                <w:szCs w:val="18"/>
              </w:rPr>
              <w:t>Diversity of the arts</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1A79" w:rsidRPr="00B61A79" w:rsidRDefault="00B61A79" w:rsidP="0059357E">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xml:space="preserve">Number of </w:t>
            </w:r>
            <w:r w:rsidR="0059357E">
              <w:rPr>
                <w:rFonts w:ascii="Arial Narrow" w:hAnsi="Arial Narrow"/>
                <w:color w:val="000000"/>
                <w:sz w:val="18"/>
                <w:szCs w:val="18"/>
              </w:rPr>
              <w:t>‘</w:t>
            </w:r>
            <w:r w:rsidRPr="00B61A79">
              <w:rPr>
                <w:rFonts w:ascii="Arial Narrow" w:hAnsi="Arial Narrow"/>
                <w:color w:val="000000"/>
                <w:sz w:val="18"/>
                <w:szCs w:val="18"/>
              </w:rPr>
              <w:t>Diversity of the arts</w:t>
            </w:r>
            <w:r w:rsidR="0059357E">
              <w:rPr>
                <w:rFonts w:ascii="Arial Narrow" w:hAnsi="Arial Narrow"/>
                <w:color w:val="000000"/>
                <w:sz w:val="18"/>
                <w:szCs w:val="18"/>
              </w:rPr>
              <w:t>’</w:t>
            </w:r>
            <w:r w:rsidRPr="00B61A79">
              <w:rPr>
                <w:rFonts w:ascii="Arial Narrow" w:hAnsi="Arial Narrow"/>
                <w:color w:val="000000"/>
                <w:sz w:val="18"/>
                <w:szCs w:val="18"/>
              </w:rPr>
              <w:t xml:space="preserve"> projects that are su</w:t>
            </w:r>
            <w:r w:rsidR="00C57AEB">
              <w:rPr>
                <w:rFonts w:ascii="Arial Narrow" w:hAnsi="Arial Narrow"/>
                <w:color w:val="000000"/>
                <w:sz w:val="18"/>
                <w:szCs w:val="18"/>
              </w:rPr>
              <w:t>c</w:t>
            </w:r>
            <w:r w:rsidRPr="00B61A79">
              <w:rPr>
                <w:rFonts w:ascii="Arial Narrow" w:hAnsi="Arial Narrow"/>
                <w:color w:val="000000"/>
                <w:sz w:val="18"/>
                <w:szCs w:val="18"/>
              </w:rPr>
              <w:t>cessfully completed</w:t>
            </w:r>
          </w:p>
        </w:tc>
        <w:tc>
          <w:tcPr>
            <w:tcW w:w="1854" w:type="dxa"/>
            <w:gridSpan w:val="2"/>
            <w:tcBorders>
              <w:top w:val="single" w:sz="4" w:space="0" w:color="auto"/>
              <w:left w:val="nil"/>
              <w:bottom w:val="single" w:sz="4" w:space="0" w:color="auto"/>
              <w:right w:val="single" w:sz="4" w:space="0" w:color="000000"/>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New measure</w:t>
            </w:r>
          </w:p>
        </w:tc>
        <w:tc>
          <w:tcPr>
            <w:tcW w:w="1043"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2</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Calibri" w:hAnsi="Calibri"/>
                <w:color w:val="000000"/>
                <w:sz w:val="18"/>
                <w:szCs w:val="18"/>
              </w:rPr>
              <w:t>≥</w:t>
            </w:r>
            <w:r w:rsidRPr="00B61A79">
              <w:rPr>
                <w:rFonts w:ascii="Arial Narrow" w:hAnsi="Arial Narrow"/>
                <w:color w:val="000000"/>
                <w:sz w:val="18"/>
                <w:szCs w:val="18"/>
              </w:rPr>
              <w:t xml:space="preserve"> 5 projects</w:t>
            </w:r>
          </w:p>
        </w:tc>
        <w:tc>
          <w:tcPr>
            <w:tcW w:w="992"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7</w:t>
            </w:r>
          </w:p>
        </w:tc>
        <w:tc>
          <w:tcPr>
            <w:tcW w:w="709"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40%</w:t>
            </w:r>
          </w:p>
        </w:tc>
        <w:tc>
          <w:tcPr>
            <w:tcW w:w="1554"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Exceeded forecast</w:t>
            </w:r>
          </w:p>
        </w:tc>
      </w:tr>
      <w:tr w:rsidR="00B61A79" w:rsidRPr="00B61A79" w:rsidTr="0059357E">
        <w:tc>
          <w:tcPr>
            <w:tcW w:w="1149" w:type="dxa"/>
            <w:vMerge/>
            <w:tcBorders>
              <w:top w:val="nil"/>
              <w:left w:val="single" w:sz="4" w:space="0" w:color="auto"/>
              <w:bottom w:val="single" w:sz="4" w:space="0" w:color="000000"/>
              <w:right w:val="single" w:sz="4" w:space="0" w:color="auto"/>
            </w:tcBorders>
            <w:vAlign w:val="center"/>
            <w:hideMark/>
          </w:tcPr>
          <w:p w:rsidR="00B61A79" w:rsidRPr="00B61A79" w:rsidRDefault="00B61A79" w:rsidP="00B61A79">
            <w:pPr>
              <w:spacing w:before="0"/>
              <w:contextualSpacing/>
              <w:jc w:val="left"/>
              <w:rPr>
                <w:rFonts w:ascii="Arial Narrow" w:hAnsi="Arial Narrow"/>
                <w:i/>
                <w:iCs/>
                <w:color w:val="000000"/>
                <w:sz w:val="18"/>
                <w:szCs w:val="18"/>
              </w:rPr>
            </w:pPr>
          </w:p>
        </w:tc>
        <w:tc>
          <w:tcPr>
            <w:tcW w:w="1276" w:type="dxa"/>
            <w:vMerge/>
            <w:tcBorders>
              <w:top w:val="nil"/>
              <w:left w:val="single" w:sz="4" w:space="0" w:color="auto"/>
              <w:bottom w:val="single" w:sz="4" w:space="0" w:color="000000"/>
              <w:right w:val="single" w:sz="4" w:space="0" w:color="auto"/>
            </w:tcBorders>
            <w:vAlign w:val="center"/>
            <w:hideMark/>
          </w:tcPr>
          <w:p w:rsidR="00B61A79" w:rsidRPr="00B61A79" w:rsidRDefault="00B61A79" w:rsidP="00B61A79">
            <w:pPr>
              <w:spacing w:before="0"/>
              <w:contextualSpacing/>
              <w:jc w:val="left"/>
              <w:rPr>
                <w:rFonts w:ascii="Arial Narrow" w:hAnsi="Arial Narrow"/>
                <w:color w:val="000000"/>
                <w:sz w:val="18"/>
                <w:szCs w:val="18"/>
              </w:rPr>
            </w:pPr>
          </w:p>
        </w:tc>
        <w:tc>
          <w:tcPr>
            <w:tcW w:w="185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New</w:t>
            </w:r>
            <w:r>
              <w:rPr>
                <w:rFonts w:ascii="Arial Narrow" w:hAnsi="Arial Narrow"/>
                <w:color w:val="000000"/>
                <w:sz w:val="18"/>
                <w:szCs w:val="18"/>
              </w:rPr>
              <w:t xml:space="preserve"> </w:t>
            </w:r>
            <w:r w:rsidRPr="00B61A79">
              <w:rPr>
                <w:rFonts w:ascii="Arial Narrow" w:hAnsi="Arial Narrow"/>
                <w:color w:val="000000"/>
                <w:sz w:val="18"/>
                <w:szCs w:val="18"/>
              </w:rPr>
              <w:t>measure</w:t>
            </w:r>
          </w:p>
        </w:tc>
        <w:tc>
          <w:tcPr>
            <w:tcW w:w="1043"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100%</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90% met or exceeded expectations</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xml:space="preserve">100% </w:t>
            </w:r>
            <w:r w:rsidRPr="00B61A79">
              <w:rPr>
                <w:rFonts w:ascii="Arial Narrow" w:hAnsi="Arial Narrow"/>
                <w:color w:val="000000"/>
                <w:sz w:val="18"/>
                <w:szCs w:val="18"/>
              </w:rPr>
              <w:br/>
              <w:t>(of the 86% that were evaluated)</w:t>
            </w:r>
          </w:p>
        </w:tc>
        <w:tc>
          <w:tcPr>
            <w:tcW w:w="709"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11%</w:t>
            </w:r>
          </w:p>
        </w:tc>
        <w:tc>
          <w:tcPr>
            <w:tcW w:w="1554"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Exceeded forecast</w:t>
            </w:r>
          </w:p>
        </w:tc>
      </w:tr>
      <w:tr w:rsidR="00B61A79" w:rsidRPr="00B61A79" w:rsidTr="0059357E">
        <w:trPr>
          <w:trHeight w:val="2070"/>
        </w:trPr>
        <w:tc>
          <w:tcPr>
            <w:tcW w:w="1149" w:type="dxa"/>
            <w:tcBorders>
              <w:top w:val="nil"/>
              <w:left w:val="single" w:sz="4" w:space="0" w:color="auto"/>
              <w:bottom w:val="nil"/>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i/>
                <w:iCs/>
                <w:color w:val="000000"/>
                <w:sz w:val="18"/>
                <w:szCs w:val="18"/>
              </w:rPr>
            </w:pPr>
            <w:r w:rsidRPr="00B61A79">
              <w:rPr>
                <w:rFonts w:ascii="Arial Narrow" w:hAnsi="Arial Narrow"/>
                <w:i/>
                <w:iCs/>
                <w:color w:val="000000"/>
                <w:sz w:val="18"/>
                <w:szCs w:val="18"/>
              </w:rPr>
              <w:t>Developing potential</w:t>
            </w:r>
          </w:p>
        </w:tc>
        <w:tc>
          <w:tcPr>
            <w:tcW w:w="1276"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59357E">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xml:space="preserve">Percentage of arts organisations </w:t>
            </w:r>
            <w:r w:rsidR="0059357E">
              <w:rPr>
                <w:rFonts w:ascii="Arial Narrow" w:hAnsi="Arial Narrow"/>
                <w:color w:val="000000"/>
                <w:sz w:val="18"/>
                <w:szCs w:val="18"/>
              </w:rPr>
              <w:t>that</w:t>
            </w:r>
            <w:r w:rsidRPr="00B61A79">
              <w:rPr>
                <w:rFonts w:ascii="Arial Narrow" w:hAnsi="Arial Narrow"/>
                <w:color w:val="000000"/>
                <w:sz w:val="18"/>
                <w:szCs w:val="18"/>
              </w:rPr>
              <w:t xml:space="preserve"> have received development support from Creative New Zealand and improved their delivery capability/ audience diversity as a result</w:t>
            </w:r>
          </w:p>
        </w:tc>
        <w:tc>
          <w:tcPr>
            <w:tcW w:w="289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New measure</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80%</w:t>
            </w:r>
          </w:p>
        </w:tc>
        <w:tc>
          <w:tcPr>
            <w:tcW w:w="992"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77%</w:t>
            </w:r>
          </w:p>
        </w:tc>
        <w:tc>
          <w:tcPr>
            <w:tcW w:w="709"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xml:space="preserve"> (3%)</w:t>
            </w:r>
          </w:p>
        </w:tc>
        <w:tc>
          <w:tcPr>
            <w:tcW w:w="1554"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Forecast met</w:t>
            </w:r>
          </w:p>
        </w:tc>
      </w:tr>
      <w:tr w:rsidR="00B61A79" w:rsidRPr="00B61A79" w:rsidTr="0059357E">
        <w:trPr>
          <w:trHeight w:val="255"/>
        </w:trPr>
        <w:tc>
          <w:tcPr>
            <w:tcW w:w="114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61A79" w:rsidRPr="00B61A79" w:rsidRDefault="00B61A79" w:rsidP="00B61A79">
            <w:pPr>
              <w:spacing w:before="0"/>
              <w:contextualSpacing/>
              <w:jc w:val="left"/>
              <w:rPr>
                <w:rFonts w:ascii="Arial Narrow" w:hAnsi="Arial Narrow"/>
                <w:b/>
                <w:bCs/>
                <w:color w:val="000000"/>
                <w:sz w:val="18"/>
                <w:szCs w:val="18"/>
              </w:rPr>
            </w:pPr>
            <w:r w:rsidRPr="00B61A79">
              <w:rPr>
                <w:rFonts w:ascii="Arial Narrow" w:hAnsi="Arial Narrow"/>
                <w:b/>
                <w:bCs/>
                <w:color w:val="000000"/>
                <w:sz w:val="18"/>
                <w:szCs w:val="18"/>
              </w:rPr>
              <w:t>Outcome</w:t>
            </w:r>
          </w:p>
        </w:tc>
        <w:tc>
          <w:tcPr>
            <w:tcW w:w="1276" w:type="dxa"/>
            <w:tcBorders>
              <w:top w:val="nil"/>
              <w:left w:val="nil"/>
              <w:bottom w:val="single" w:sz="4" w:space="0" w:color="auto"/>
              <w:right w:val="nil"/>
            </w:tcBorders>
            <w:shd w:val="clear" w:color="000000" w:fill="DCE6F1"/>
            <w:vAlign w:val="center"/>
            <w:hideMark/>
          </w:tcPr>
          <w:p w:rsidR="00B61A79" w:rsidRPr="00B61A79" w:rsidRDefault="00B61A79" w:rsidP="00B61A79">
            <w:pPr>
              <w:spacing w:before="0"/>
              <w:contextualSpacing/>
              <w:jc w:val="center"/>
              <w:rPr>
                <w:rFonts w:ascii="Arial Narrow" w:hAnsi="Arial Narrow"/>
                <w:b/>
                <w:bCs/>
                <w:color w:val="000000"/>
                <w:sz w:val="18"/>
                <w:szCs w:val="18"/>
              </w:rPr>
            </w:pPr>
            <w:r w:rsidRPr="00B61A79">
              <w:rPr>
                <w:rFonts w:ascii="Arial Narrow" w:hAnsi="Arial Narrow"/>
                <w:b/>
                <w:bCs/>
                <w:color w:val="000000"/>
                <w:sz w:val="18"/>
                <w:szCs w:val="18"/>
              </w:rPr>
              <w:t>Measure</w:t>
            </w:r>
          </w:p>
        </w:tc>
        <w:tc>
          <w:tcPr>
            <w:tcW w:w="912" w:type="dxa"/>
            <w:tcBorders>
              <w:top w:val="nil"/>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42" w:type="dxa"/>
            <w:tcBorders>
              <w:top w:val="nil"/>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1043" w:type="dxa"/>
            <w:tcBorders>
              <w:top w:val="nil"/>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92" w:type="dxa"/>
            <w:tcBorders>
              <w:top w:val="nil"/>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992" w:type="dxa"/>
            <w:tcBorders>
              <w:top w:val="nil"/>
              <w:left w:val="nil"/>
              <w:bottom w:val="nil"/>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709" w:type="dxa"/>
            <w:tcBorders>
              <w:top w:val="nil"/>
              <w:left w:val="nil"/>
              <w:bottom w:val="single" w:sz="4" w:space="0" w:color="auto"/>
              <w:right w:val="nil"/>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c>
          <w:tcPr>
            <w:tcW w:w="1554" w:type="dxa"/>
            <w:tcBorders>
              <w:top w:val="nil"/>
              <w:left w:val="nil"/>
              <w:bottom w:val="single" w:sz="4" w:space="0" w:color="auto"/>
              <w:right w:val="single" w:sz="4" w:space="0" w:color="auto"/>
            </w:tcBorders>
            <w:shd w:val="clear" w:color="000000" w:fill="DCE6F1"/>
            <w:noWrap/>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w:t>
            </w:r>
          </w:p>
        </w:tc>
      </w:tr>
      <w:tr w:rsidR="00B61A79" w:rsidRPr="00B61A79" w:rsidTr="0059357E">
        <w:trPr>
          <w:trHeight w:val="1080"/>
        </w:trPr>
        <w:tc>
          <w:tcPr>
            <w:tcW w:w="114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i/>
                <w:iCs/>
                <w:color w:val="000000"/>
                <w:sz w:val="18"/>
                <w:szCs w:val="18"/>
              </w:rPr>
            </w:pPr>
            <w:r w:rsidRPr="00B61A79">
              <w:rPr>
                <w:rFonts w:ascii="Arial Narrow" w:hAnsi="Arial Narrow"/>
                <w:i/>
                <w:iCs/>
                <w:color w:val="000000"/>
                <w:sz w:val="18"/>
                <w:szCs w:val="18"/>
              </w:rPr>
              <w:t>New Zealanders experience high-quality arts</w:t>
            </w:r>
          </w:p>
        </w:tc>
        <w:tc>
          <w:tcPr>
            <w:tcW w:w="1276"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 xml:space="preserve">Levels of New Zealanders arts' attendances (from three-yearly </w:t>
            </w:r>
            <w:r w:rsidRPr="00B61A79">
              <w:rPr>
                <w:rFonts w:ascii="Arial Narrow" w:hAnsi="Arial Narrow"/>
                <w:i/>
                <w:iCs/>
                <w:color w:val="000000"/>
                <w:sz w:val="18"/>
                <w:szCs w:val="18"/>
              </w:rPr>
              <w:t>New Zealanders and the arts</w:t>
            </w:r>
            <w:r w:rsidRPr="00B61A79">
              <w:rPr>
                <w:rFonts w:ascii="Arial Narrow" w:hAnsi="Arial Narrow"/>
                <w:color w:val="000000"/>
                <w:sz w:val="18"/>
                <w:szCs w:val="18"/>
              </w:rPr>
              <w:t xml:space="preserve"> survey)</w:t>
            </w:r>
          </w:p>
        </w:tc>
        <w:tc>
          <w:tcPr>
            <w:tcW w:w="1854" w:type="dxa"/>
            <w:gridSpan w:val="2"/>
            <w:tcBorders>
              <w:top w:val="single" w:sz="4" w:space="0" w:color="auto"/>
              <w:left w:val="nil"/>
              <w:bottom w:val="single" w:sz="4" w:space="0" w:color="auto"/>
              <w:right w:val="single" w:sz="4" w:space="0" w:color="000000"/>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83%</w:t>
            </w:r>
            <w:r w:rsidRPr="00B61A79">
              <w:rPr>
                <w:rFonts w:ascii="Arial Narrow" w:hAnsi="Arial Narrow"/>
                <w:color w:val="000000"/>
                <w:sz w:val="18"/>
                <w:szCs w:val="18"/>
              </w:rPr>
              <w:br/>
              <w:t>(2008 survey)</w:t>
            </w:r>
          </w:p>
        </w:tc>
        <w:tc>
          <w:tcPr>
            <w:tcW w:w="1043"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80%</w:t>
            </w:r>
            <w:r w:rsidRPr="00B61A79">
              <w:rPr>
                <w:rFonts w:ascii="Arial Narrow" w:hAnsi="Arial Narrow"/>
                <w:color w:val="000000"/>
                <w:sz w:val="18"/>
                <w:szCs w:val="18"/>
              </w:rPr>
              <w:br/>
              <w:t>(83% excluding Christchurch)</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Maintain or increase</w:t>
            </w:r>
          </w:p>
        </w:tc>
        <w:tc>
          <w:tcPr>
            <w:tcW w:w="3255" w:type="dxa"/>
            <w:gridSpan w:val="3"/>
            <w:tcBorders>
              <w:top w:val="single" w:sz="4" w:space="0" w:color="auto"/>
              <w:left w:val="nil"/>
              <w:bottom w:val="single" w:sz="4" w:space="0" w:color="auto"/>
              <w:right w:val="single" w:sz="4" w:space="0" w:color="000000"/>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No survey</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B61A79">
              <w:rPr>
                <w:rFonts w:ascii="Arial Narrow" w:hAnsi="Arial Narrow"/>
                <w:color w:val="000000"/>
                <w:sz w:val="18"/>
                <w:szCs w:val="18"/>
              </w:rPr>
              <w:t xml:space="preserve"> done every three years</w:t>
            </w:r>
          </w:p>
        </w:tc>
      </w:tr>
      <w:tr w:rsidR="00B61A79" w:rsidRPr="00B61A79" w:rsidTr="0059357E">
        <w:trPr>
          <w:trHeight w:val="1890"/>
        </w:trPr>
        <w:tc>
          <w:tcPr>
            <w:tcW w:w="1149" w:type="dxa"/>
            <w:vMerge/>
            <w:tcBorders>
              <w:top w:val="nil"/>
              <w:left w:val="single" w:sz="4" w:space="0" w:color="auto"/>
              <w:bottom w:val="single" w:sz="4" w:space="0" w:color="000000"/>
              <w:right w:val="single" w:sz="4" w:space="0" w:color="auto"/>
            </w:tcBorders>
            <w:vAlign w:val="center"/>
            <w:hideMark/>
          </w:tcPr>
          <w:p w:rsidR="00B61A79" w:rsidRPr="00B61A79" w:rsidRDefault="00B61A79" w:rsidP="00B61A79">
            <w:pPr>
              <w:spacing w:before="0"/>
              <w:contextualSpacing/>
              <w:jc w:val="left"/>
              <w:rPr>
                <w:rFonts w:ascii="Arial Narrow" w:hAnsi="Arial Narrow"/>
                <w:i/>
                <w:iCs/>
                <w:color w:val="000000"/>
                <w:sz w:val="18"/>
                <w:szCs w:val="18"/>
              </w:rPr>
            </w:pPr>
          </w:p>
        </w:tc>
        <w:tc>
          <w:tcPr>
            <w:tcW w:w="1276"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left"/>
              <w:rPr>
                <w:rFonts w:ascii="Arial Narrow" w:hAnsi="Arial Narrow"/>
                <w:color w:val="000000"/>
                <w:sz w:val="18"/>
                <w:szCs w:val="18"/>
              </w:rPr>
            </w:pPr>
            <w:r w:rsidRPr="00B61A79">
              <w:rPr>
                <w:rFonts w:ascii="Arial Narrow" w:hAnsi="Arial Narrow"/>
                <w:color w:val="000000"/>
                <w:sz w:val="18"/>
                <w:szCs w:val="18"/>
              </w:rPr>
              <w:t>Levels of New Zealanders arts' attendances at events/performances funded by Creative New Zealand (run by organisations with continuous programmes of activity)</w:t>
            </w:r>
          </w:p>
        </w:tc>
        <w:tc>
          <w:tcPr>
            <w:tcW w:w="91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xml:space="preserve">617,960 </w:t>
            </w:r>
            <w:r w:rsidRPr="00B61A79">
              <w:rPr>
                <w:rFonts w:ascii="Arial Narrow" w:hAnsi="Arial Narrow"/>
                <w:color w:val="000000"/>
                <w:sz w:val="18"/>
                <w:szCs w:val="18"/>
              </w:rPr>
              <w:br/>
              <w:t>(2009 calendar year)</w:t>
            </w:r>
          </w:p>
        </w:tc>
        <w:tc>
          <w:tcPr>
            <w:tcW w:w="94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599,994</w:t>
            </w:r>
            <w:r w:rsidRPr="00B61A79">
              <w:rPr>
                <w:rFonts w:ascii="Arial Narrow" w:hAnsi="Arial Narrow"/>
                <w:color w:val="000000"/>
                <w:sz w:val="18"/>
                <w:szCs w:val="18"/>
              </w:rPr>
              <w:br/>
              <w:t>(2010 calendar year)</w:t>
            </w:r>
          </w:p>
        </w:tc>
        <w:tc>
          <w:tcPr>
            <w:tcW w:w="1043"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622,945</w:t>
            </w:r>
            <w:r w:rsidRPr="00B61A79">
              <w:rPr>
                <w:rFonts w:ascii="Arial Narrow" w:hAnsi="Arial Narrow"/>
                <w:color w:val="000000"/>
                <w:sz w:val="18"/>
                <w:szCs w:val="18"/>
              </w:rPr>
              <w:br/>
              <w:t>(2011/12 year)</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 700,000</w:t>
            </w:r>
          </w:p>
        </w:tc>
        <w:tc>
          <w:tcPr>
            <w:tcW w:w="992"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701,615</w:t>
            </w:r>
            <w:r w:rsidRPr="00B61A79">
              <w:rPr>
                <w:rFonts w:ascii="Arial Narrow" w:hAnsi="Arial Narrow"/>
                <w:color w:val="000000"/>
                <w:sz w:val="18"/>
                <w:szCs w:val="18"/>
              </w:rPr>
              <w:br/>
              <w:t>(2012/13 year)</w:t>
            </w:r>
          </w:p>
        </w:tc>
        <w:tc>
          <w:tcPr>
            <w:tcW w:w="709" w:type="dxa"/>
            <w:tcBorders>
              <w:top w:val="nil"/>
              <w:left w:val="nil"/>
              <w:bottom w:val="single" w:sz="4" w:space="0" w:color="auto"/>
              <w:right w:val="single" w:sz="4" w:space="0" w:color="auto"/>
            </w:tcBorders>
            <w:shd w:val="clear" w:color="000000" w:fill="FFFFFF"/>
            <w:noWrap/>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0%</w:t>
            </w:r>
          </w:p>
        </w:tc>
        <w:tc>
          <w:tcPr>
            <w:tcW w:w="1554" w:type="dxa"/>
            <w:tcBorders>
              <w:top w:val="nil"/>
              <w:left w:val="nil"/>
              <w:bottom w:val="single" w:sz="4" w:space="0" w:color="auto"/>
              <w:right w:val="single" w:sz="4" w:space="0" w:color="auto"/>
            </w:tcBorders>
            <w:shd w:val="clear" w:color="000000" w:fill="FFFFFF"/>
            <w:vAlign w:val="center"/>
            <w:hideMark/>
          </w:tcPr>
          <w:p w:rsidR="00B61A79" w:rsidRPr="00B61A79" w:rsidRDefault="00B61A79" w:rsidP="00B61A79">
            <w:pPr>
              <w:spacing w:before="0"/>
              <w:contextualSpacing/>
              <w:jc w:val="center"/>
              <w:rPr>
                <w:rFonts w:ascii="Arial Narrow" w:hAnsi="Arial Narrow"/>
                <w:color w:val="000000"/>
                <w:sz w:val="18"/>
                <w:szCs w:val="18"/>
              </w:rPr>
            </w:pPr>
            <w:r w:rsidRPr="00B61A79">
              <w:rPr>
                <w:rFonts w:ascii="Arial Narrow" w:hAnsi="Arial Narrow"/>
                <w:color w:val="000000"/>
                <w:sz w:val="18"/>
                <w:szCs w:val="18"/>
              </w:rPr>
              <w:t>Forecast met</w:t>
            </w:r>
          </w:p>
        </w:tc>
      </w:tr>
    </w:tbl>
    <w:p w:rsidR="003027E3" w:rsidRPr="006552E9" w:rsidRDefault="003027E3" w:rsidP="008A7F61">
      <w:pPr>
        <w:pStyle w:val="Tabletext"/>
      </w:pPr>
    </w:p>
    <w:p w:rsidR="003027E3" w:rsidRPr="006552E9" w:rsidRDefault="003027E3" w:rsidP="003027E3"/>
    <w:p w:rsidR="003027E3" w:rsidRPr="006552E9" w:rsidRDefault="003027E3" w:rsidP="003027E3">
      <w:pPr>
        <w:sectPr w:rsidR="003027E3" w:rsidRPr="006552E9" w:rsidSect="00910F52">
          <w:headerReference w:type="default" r:id="rId33"/>
          <w:pgSz w:w="11907" w:h="16840" w:code="9"/>
          <w:pgMar w:top="1440" w:right="1440" w:bottom="1440" w:left="1440" w:header="708" w:footer="708" w:gutter="0"/>
          <w:cols w:space="708"/>
          <w:docGrid w:linePitch="360"/>
        </w:sectPr>
      </w:pPr>
    </w:p>
    <w:p w:rsidR="003027E3" w:rsidRPr="006552E9" w:rsidRDefault="003027E3" w:rsidP="003027E3">
      <w:pPr>
        <w:pStyle w:val="Heading2"/>
      </w:pPr>
      <w:bookmarkStart w:id="43" w:name="_Toc373415022"/>
      <w:r w:rsidRPr="006552E9">
        <w:t>Outcome 4:</w:t>
      </w:r>
      <w:r w:rsidRPr="006552E9">
        <w:rPr>
          <w:i/>
        </w:rPr>
        <w:t xml:space="preserve"> </w:t>
      </w:r>
      <w:r w:rsidRPr="006552E9">
        <w:t>New Zealand arts gain international success</w:t>
      </w:r>
      <w:bookmarkEnd w:id="43"/>
    </w:p>
    <w:p w:rsidR="003027E3" w:rsidRPr="006552E9" w:rsidRDefault="003027E3" w:rsidP="003027E3">
      <w:pPr>
        <w:pStyle w:val="Heading3"/>
      </w:pPr>
      <w:bookmarkStart w:id="44" w:name="_Toc373415023"/>
      <w:r w:rsidRPr="006552E9">
        <w:t>Our stories from 2012/13</w:t>
      </w:r>
      <w:bookmarkEnd w:id="44"/>
    </w:p>
    <w:p w:rsidR="00701B57" w:rsidRDefault="00C1423F" w:rsidP="00701B57">
      <w:pPr>
        <w:pStyle w:val="Heading4"/>
      </w:pPr>
      <w:r w:rsidRPr="006552E9">
        <w:t>Handshake</w:t>
      </w:r>
    </w:p>
    <w:p w:rsidR="00701B57" w:rsidRDefault="00286BC4" w:rsidP="00701B57">
      <w:r>
        <w:rPr>
          <w:noProof/>
        </w:rPr>
        <w:drawing>
          <wp:anchor distT="0" distB="0" distL="114300" distR="114300" simplePos="0" relativeHeight="251685888" behindDoc="0" locked="0" layoutInCell="1" allowOverlap="1" wp14:anchorId="73C4416B" wp14:editId="4B0EACD1">
            <wp:simplePos x="0" y="0"/>
            <wp:positionH relativeFrom="margin">
              <wp:posOffset>2870200</wp:posOffset>
            </wp:positionH>
            <wp:positionV relativeFrom="paragraph">
              <wp:posOffset>46990</wp:posOffset>
            </wp:positionV>
            <wp:extent cx="2917825" cy="2184400"/>
            <wp:effectExtent l="0" t="0" r="0" b="0"/>
            <wp:wrapSquare wrapText="bothSides"/>
            <wp:docPr id="15" name="Picture 15" title="Picture of the Handshake exhibition at Handwerksmesse, in Mu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lideshow-munich.jpg"/>
                    <pic:cNvPicPr/>
                  </pic:nvPicPr>
                  <pic:blipFill>
                    <a:blip r:embed="rId34">
                      <a:extLst>
                        <a:ext uri="{28A0092B-C50C-407E-A947-70E740481C1C}">
                          <a14:useLocalDpi xmlns:a14="http://schemas.microsoft.com/office/drawing/2010/main" val="0"/>
                        </a:ext>
                      </a:extLst>
                    </a:blip>
                    <a:stretch>
                      <a:fillRect/>
                    </a:stretch>
                  </pic:blipFill>
                  <pic:spPr>
                    <a:xfrm>
                      <a:off x="0" y="0"/>
                      <a:ext cx="2917825" cy="2184400"/>
                    </a:xfrm>
                    <a:prstGeom prst="rect">
                      <a:avLst/>
                    </a:prstGeom>
                  </pic:spPr>
                </pic:pic>
              </a:graphicData>
            </a:graphic>
            <wp14:sizeRelH relativeFrom="margin">
              <wp14:pctWidth>0</wp14:pctWidth>
            </wp14:sizeRelH>
            <wp14:sizeRelV relativeFrom="margin">
              <wp14:pctHeight>0</wp14:pctHeight>
            </wp14:sizeRelV>
          </wp:anchor>
        </w:drawing>
      </w:r>
      <w:r w:rsidR="00701B57">
        <w:t xml:space="preserve">Handshake is a mentoring scheme for New Zealand contemporary jewellers, which has been running over the </w:t>
      </w:r>
      <w:r w:rsidR="0059357E">
        <w:t>p</w:t>
      </w:r>
      <w:r w:rsidR="00701B57">
        <w:t>ast three years with the aid of three grants from Creative New Zealand. The initial grant in 2011 was for the mentor programme itself, and two grants in 2012 provided support towards national and international exhibitions and the printing of a book about the programme. The programme was designed and deliver</w:t>
      </w:r>
      <w:r w:rsidR="002506DD">
        <w:t>ed</w:t>
      </w:r>
      <w:r w:rsidR="00701B57">
        <w:t xml:space="preserve"> by Wellington-based jeweller and educator Peter Deckers.</w:t>
      </w:r>
    </w:p>
    <w:p w:rsidR="00701B57" w:rsidRDefault="005D6E4A" w:rsidP="00701B57">
      <w:r>
        <w:rPr>
          <w:noProof/>
        </w:rPr>
        <w:pict>
          <v:shape id="_x0000_s1203" type="#_x0000_t202" style="position:absolute;left:0;text-align:left;margin-left:229.45pt;margin-top:25.35pt;width:226.9pt;height:20.7pt;z-index:251687936;mso-position-horizontal-relative:text;mso-position-vertical-relative:text" stroked="f">
            <v:textbox style="mso-fit-shape-to-text:t" inset="0,0,0,0">
              <w:txbxContent>
                <w:p w:rsidR="005D6E4A" w:rsidRPr="00CB6C95" w:rsidRDefault="005D6E4A" w:rsidP="00286BC4">
                  <w:pPr>
                    <w:pStyle w:val="Caption"/>
                    <w:rPr>
                      <w:noProof/>
                      <w:szCs w:val="24"/>
                    </w:rPr>
                  </w:pPr>
                  <w:r>
                    <w:t xml:space="preserve">Figure </w:t>
                  </w:r>
                  <w:fldSimple w:instr=" SEQ Figure \* ARABIC ">
                    <w:r>
                      <w:rPr>
                        <w:noProof/>
                      </w:rPr>
                      <w:t>16</w:t>
                    </w:r>
                  </w:fldSimple>
                  <w:r>
                    <w:t xml:space="preserve">: </w:t>
                  </w:r>
                  <w:r w:rsidRPr="00102F71">
                    <w:rPr>
                      <w:i/>
                    </w:rPr>
                    <w:t>Handshake</w:t>
                  </w:r>
                  <w:r>
                    <w:t xml:space="preserve"> exhibition, Handwerksmesse, Munich. Photo courtesy of Lynsay Raine.</w:t>
                  </w:r>
                </w:p>
              </w:txbxContent>
            </v:textbox>
            <w10:wrap type="square"/>
          </v:shape>
        </w:pict>
      </w:r>
      <w:r w:rsidR="00701B57">
        <w:t>The scheme took 12 New Zealand emerging</w:t>
      </w:r>
      <w:r w:rsidR="0059357E">
        <w:t xml:space="preserve"> and </w:t>
      </w:r>
      <w:r w:rsidR="00701B57">
        <w:t xml:space="preserve">early career jewellers and allowed them to choose a mentor nationally or internationally. They engaged with each other via digital means, mainly email and Skype, and the results of their discussions were posted on a blog. </w:t>
      </w:r>
      <w:r w:rsidR="00CB6383">
        <w:t xml:space="preserve">An </w:t>
      </w:r>
      <w:r w:rsidR="00701B57">
        <w:t>extensive exhibition programme that the mentees had to produce work towards</w:t>
      </w:r>
      <w:r w:rsidR="00CB6383">
        <w:t xml:space="preserve"> </w:t>
      </w:r>
      <w:r w:rsidR="0059357E">
        <w:t>finished</w:t>
      </w:r>
      <w:r w:rsidR="00CB6383">
        <w:t xml:space="preserve"> </w:t>
      </w:r>
      <w:r w:rsidR="0059357E">
        <w:t>with</w:t>
      </w:r>
      <w:r w:rsidR="00CB6383">
        <w:t xml:space="preserve"> an exhibition of collaborations between mentees</w:t>
      </w:r>
      <w:r w:rsidR="0059357E">
        <w:t xml:space="preserve"> and </w:t>
      </w:r>
      <w:r w:rsidR="00CB6383">
        <w:t>mentors at Objectspace in July 2013</w:t>
      </w:r>
      <w:r w:rsidR="00701B57">
        <w:t>.</w:t>
      </w:r>
    </w:p>
    <w:p w:rsidR="00C1423F" w:rsidRPr="006552E9" w:rsidRDefault="00701B57" w:rsidP="002506DD">
      <w:r>
        <w:t>A 110 page book documenting the mentor</w:t>
      </w:r>
      <w:r w:rsidR="0059357E">
        <w:t xml:space="preserve"> and </w:t>
      </w:r>
      <w:r>
        <w:t>mentee relationships and the resulting work was produced to coincide with an exhibition at the Handwerksmesse in Munich in March 2013. (Artform</w:t>
      </w:r>
      <w:r w:rsidR="0059357E">
        <w:t xml:space="preserve"> – </w:t>
      </w:r>
      <w:r>
        <w:t>craft</w:t>
      </w:r>
      <w:r w:rsidR="005F313D">
        <w:t>/</w:t>
      </w:r>
      <w:r>
        <w:t xml:space="preserve">object; </w:t>
      </w:r>
      <w:r w:rsidR="002506DD">
        <w:t xml:space="preserve">location – Munich; funding – </w:t>
      </w:r>
      <w:r w:rsidR="00C1423F" w:rsidRPr="006552E9">
        <w:t>Art</w:t>
      </w:r>
      <w:r w:rsidR="002506DD">
        <w:t xml:space="preserve">s </w:t>
      </w:r>
      <w:r w:rsidR="00C1423F" w:rsidRPr="006552E9">
        <w:t>Grant, $42,530</w:t>
      </w:r>
      <w:r w:rsidR="002506DD">
        <w:t>)</w:t>
      </w:r>
    </w:p>
    <w:p w:rsidR="00701B57" w:rsidRDefault="00C1423F" w:rsidP="00701B57">
      <w:r w:rsidRPr="00701B57">
        <w:rPr>
          <w:rStyle w:val="Heading4Char"/>
        </w:rPr>
        <w:t>Simon Denny</w:t>
      </w:r>
      <w:r w:rsidRPr="006552E9">
        <w:t xml:space="preserve"> </w:t>
      </w:r>
    </w:p>
    <w:p w:rsidR="001C504E" w:rsidRDefault="00286BC4" w:rsidP="004F6A61">
      <w:r>
        <w:rPr>
          <w:noProof/>
        </w:rPr>
        <w:drawing>
          <wp:anchor distT="0" distB="0" distL="114300" distR="114300" simplePos="0" relativeHeight="251682816" behindDoc="0" locked="0" layoutInCell="1" allowOverlap="1" wp14:anchorId="3A80A5AE" wp14:editId="7460C6D2">
            <wp:simplePos x="0" y="0"/>
            <wp:positionH relativeFrom="margin">
              <wp:posOffset>-40005</wp:posOffset>
            </wp:positionH>
            <wp:positionV relativeFrom="margin">
              <wp:posOffset>5807075</wp:posOffset>
            </wp:positionV>
            <wp:extent cx="3376295" cy="2537460"/>
            <wp:effectExtent l="0" t="0" r="0" b="0"/>
            <wp:wrapSquare wrapText="bothSides"/>
            <wp:docPr id="14" name="Picture 14" title="Photo of Simon Denny's work, TVNZ 7 Timeli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 Document - Simon Denn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6295" cy="2537460"/>
                    </a:xfrm>
                    <a:prstGeom prst="rect">
                      <a:avLst/>
                    </a:prstGeom>
                  </pic:spPr>
                </pic:pic>
              </a:graphicData>
            </a:graphic>
            <wp14:sizeRelH relativeFrom="margin">
              <wp14:pctWidth>0</wp14:pctWidth>
            </wp14:sizeRelH>
            <wp14:sizeRelV relativeFrom="margin">
              <wp14:pctHeight>0</wp14:pctHeight>
            </wp14:sizeRelV>
          </wp:anchor>
        </w:drawing>
      </w:r>
      <w:r w:rsidR="005D6E4A">
        <w:rPr>
          <w:noProof/>
        </w:rPr>
        <w:pict>
          <v:shape id="_x0000_s1202" type="#_x0000_t202" style="position:absolute;left:0;text-align:left;margin-left:-3.15pt;margin-top:220.1pt;width:265.85pt;height:.05pt;z-index:251684864;mso-position-horizontal-relative:text;mso-position-vertical-relative:text" stroked="f">
            <v:textbox style="mso-fit-shape-to-text:t" inset="0,0,0,0">
              <w:txbxContent>
                <w:p w:rsidR="005D6E4A" w:rsidRPr="00463A3A" w:rsidRDefault="005D6E4A" w:rsidP="0059357E">
                  <w:pPr>
                    <w:pStyle w:val="Caption"/>
                    <w:rPr>
                      <w:noProof/>
                      <w:szCs w:val="24"/>
                    </w:rPr>
                  </w:pPr>
                  <w:r>
                    <w:t xml:space="preserve">Figure </w:t>
                  </w:r>
                  <w:fldSimple w:instr=" SEQ Figure \* ARABIC ">
                    <w:r>
                      <w:rPr>
                        <w:noProof/>
                      </w:rPr>
                      <w:t>17</w:t>
                    </w:r>
                  </w:fldSimple>
                  <w:r>
                    <w:t xml:space="preserve">: </w:t>
                  </w:r>
                  <w:r w:rsidRPr="001C504E">
                    <w:rPr>
                      <w:rFonts w:cs="Calibri"/>
                      <w:i/>
                    </w:rPr>
                    <w:t>TVNZ 7 Timeline 2012</w:t>
                  </w:r>
                  <w:r>
                    <w:rPr>
                      <w:rFonts w:cs="Calibri"/>
                    </w:rPr>
                    <w:t xml:space="preserve"> </w:t>
                  </w:r>
                  <w:r>
                    <w:t>by Simon Denny.</w:t>
                  </w:r>
                  <w:r w:rsidRPr="00E941F6">
                    <w:rPr>
                      <w:rFonts w:cs="Calibri"/>
                    </w:rPr>
                    <w:t xml:space="preserve"> Multi media in</w:t>
                  </w:r>
                  <w:r>
                    <w:rPr>
                      <w:rFonts w:cs="Calibri"/>
                    </w:rPr>
                    <w:t>stallation, dimensions variable.</w:t>
                  </w:r>
                  <w:r w:rsidRPr="00E941F6">
                    <w:rPr>
                      <w:rFonts w:cs="Calibri"/>
                    </w:rPr>
                    <w:t xml:space="preserve"> Photo courtesy of the artist and Michael Lett</w:t>
                  </w:r>
                  <w:r>
                    <w:rPr>
                      <w:rFonts w:cs="Calibri"/>
                    </w:rPr>
                    <w:t>.</w:t>
                  </w:r>
                  <w:r>
                    <w:t xml:space="preserve"> </w:t>
                  </w:r>
                </w:p>
              </w:txbxContent>
            </v:textbox>
            <w10:wrap type="square"/>
          </v:shape>
        </w:pict>
      </w:r>
      <w:r w:rsidR="001C504E" w:rsidRPr="001C504E">
        <w:t xml:space="preserve"> </w:t>
      </w:r>
      <w:r w:rsidR="001C504E" w:rsidRPr="00EE4DDC">
        <w:t xml:space="preserve">In June 2012, Simon Denny was awarded the prestigious Baloise Art Prize worth nearly $23,000 (CHF 30,000). </w:t>
      </w:r>
    </w:p>
    <w:p w:rsidR="004F6A61" w:rsidRDefault="001C504E" w:rsidP="004F6A61">
      <w:r w:rsidRPr="00EE4DDC">
        <w:rPr>
          <w:bCs/>
        </w:rPr>
        <w:t>Simon Denny</w:t>
      </w:r>
      <w:r w:rsidRPr="00EE4DDC">
        <w:rPr>
          <w:b/>
          <w:bCs/>
        </w:rPr>
        <w:t xml:space="preserve"> </w:t>
      </w:r>
      <w:r w:rsidRPr="00EE4DDC">
        <w:t>investigate</w:t>
      </w:r>
      <w:r>
        <w:t>d</w:t>
      </w:r>
      <w:r w:rsidRPr="00EE4DDC">
        <w:t xml:space="preserve"> the changing role of the media and television in an age of rapid technological progress. In his large-scale installation</w:t>
      </w:r>
      <w:r>
        <w:t>,</w:t>
      </w:r>
      <w:r w:rsidRPr="00EE4DDC">
        <w:t xml:space="preserve"> </w:t>
      </w:r>
      <w:r w:rsidRPr="00EE4DDC">
        <w:rPr>
          <w:i/>
          <w:iCs/>
        </w:rPr>
        <w:t>Channel Document</w:t>
      </w:r>
      <w:r w:rsidRPr="00EE4DDC">
        <w:t xml:space="preserve">, he addressed the restructuring of the media and its social consequences. At the core of his work was the </w:t>
      </w:r>
      <w:r>
        <w:t xml:space="preserve">imminent closure </w:t>
      </w:r>
      <w:r w:rsidRPr="00EE4DDC">
        <w:t>of the television channel TVNZ 7, wh</w:t>
      </w:r>
      <w:r>
        <w:t xml:space="preserve">ich had operated as a government funded </w:t>
      </w:r>
      <w:r w:rsidRPr="00EE4DDC">
        <w:t>non-commercial, digital</w:t>
      </w:r>
      <w:r>
        <w:t xml:space="preserve"> channel. As part of the installation, t</w:t>
      </w:r>
      <w:r w:rsidRPr="00EE4DDC">
        <w:t>he artist commissioned a documentary on the redesign of New Zealand's passport</w:t>
      </w:r>
      <w:r>
        <w:t xml:space="preserve"> in the style of a TVNZ production. </w:t>
      </w:r>
      <w:r w:rsidR="007B040A" w:rsidRPr="007B040A">
        <w:rPr>
          <w:i/>
          <w:lang w:val="en"/>
        </w:rPr>
        <w:t>Channel Document</w:t>
      </w:r>
      <w:r w:rsidR="007B040A">
        <w:rPr>
          <w:lang w:val="en"/>
        </w:rPr>
        <w:t xml:space="preserve"> was presented at Art 43 Basel by Michael Lett Gallery with the support of an Arts Grant</w:t>
      </w:r>
      <w:r w:rsidR="007B040A">
        <w:rPr>
          <w:lang w:val="en"/>
        </w:rPr>
        <w:t>.</w:t>
      </w:r>
    </w:p>
    <w:p w:rsidR="003027E3" w:rsidRPr="006552E9" w:rsidRDefault="004F6A61" w:rsidP="004F6A61">
      <w:r>
        <w:t>Simon Denny has since been named as Creative New Zealand’s artist for the 2015 Venice Biennale.</w:t>
      </w:r>
      <w:r w:rsidR="00B92908">
        <w:t xml:space="preserve"> </w:t>
      </w:r>
      <w:r>
        <w:t xml:space="preserve">(Artform </w:t>
      </w:r>
      <w:r>
        <w:softHyphen/>
        <w:t xml:space="preserve">– </w:t>
      </w:r>
      <w:r w:rsidR="00C1423F" w:rsidRPr="006552E9">
        <w:t>visual art</w:t>
      </w:r>
      <w:r>
        <w:t>; various funding)</w:t>
      </w:r>
      <w:r w:rsidR="001C504E">
        <w:t>.</w:t>
      </w:r>
    </w:p>
    <w:p w:rsidR="00335D45" w:rsidRPr="006552E9" w:rsidRDefault="00335D45" w:rsidP="00335D45">
      <w:pPr>
        <w:pStyle w:val="Heading3"/>
      </w:pPr>
      <w:bookmarkStart w:id="45" w:name="_Toc364072012"/>
      <w:bookmarkStart w:id="46" w:name="_Toc373415024"/>
      <w:r w:rsidRPr="006552E9">
        <w:t>What we were seeking to achieve</w:t>
      </w:r>
      <w:bookmarkEnd w:id="45"/>
      <w:bookmarkEnd w:id="46"/>
      <w:r w:rsidRPr="006552E9">
        <w:t xml:space="preserve"> </w:t>
      </w:r>
    </w:p>
    <w:p w:rsidR="003027E3" w:rsidRPr="006552E9" w:rsidRDefault="003027E3" w:rsidP="003027E3">
      <w:r w:rsidRPr="006552E9">
        <w:t xml:space="preserve">Creative New Zealand supported </w:t>
      </w:r>
      <w:r w:rsidR="00C23714" w:rsidRPr="006552E9">
        <w:t xml:space="preserve">selected New Zealand </w:t>
      </w:r>
      <w:r w:rsidRPr="006552E9">
        <w:t>artists, arts practitioners and arts organisations to develop international audiences, readers and viewers.</w:t>
      </w:r>
      <w:r w:rsidR="00175E6D" w:rsidRPr="006552E9">
        <w:t xml:space="preserve"> </w:t>
      </w:r>
      <w:r w:rsidRPr="006552E9">
        <w:t xml:space="preserve">This helps increase income for our artists and arts organisations, </w:t>
      </w:r>
      <w:r w:rsidR="00560BCE" w:rsidRPr="006552E9">
        <w:t xml:space="preserve">assists them to engage with the international arts environment </w:t>
      </w:r>
      <w:r w:rsidRPr="006552E9">
        <w:t xml:space="preserve">and promotes New Zealand and its arts </w:t>
      </w:r>
      <w:r w:rsidR="00560BCE" w:rsidRPr="006552E9">
        <w:t>to international audiences</w:t>
      </w:r>
      <w:r w:rsidRPr="006552E9">
        <w:t>.</w:t>
      </w:r>
    </w:p>
    <w:p w:rsidR="003027E3" w:rsidRPr="006552E9" w:rsidRDefault="003027E3" w:rsidP="003027E3">
      <w:pPr>
        <w:pStyle w:val="Heading3"/>
      </w:pPr>
      <w:bookmarkStart w:id="47" w:name="_Toc373415025"/>
      <w:r w:rsidRPr="006552E9">
        <w:t>What we did</w:t>
      </w:r>
      <w:bookmarkEnd w:id="47"/>
    </w:p>
    <w:p w:rsidR="003027E3" w:rsidRPr="006552E9" w:rsidRDefault="003027E3" w:rsidP="003027E3">
      <w:pPr>
        <w:autoSpaceDE w:val="0"/>
        <w:autoSpaceDN w:val="0"/>
        <w:adjustRightInd w:val="0"/>
      </w:pPr>
      <w:r w:rsidRPr="006552E9">
        <w:t xml:space="preserve">Creative New Zealand’s international networks and targeted programmes meant that </w:t>
      </w:r>
      <w:r w:rsidR="0059357E">
        <w:t xml:space="preserve">it was </w:t>
      </w:r>
      <w:r w:rsidRPr="006552E9">
        <w:t xml:space="preserve">able to bring 32 international buyers to New Zealand through </w:t>
      </w:r>
      <w:r w:rsidR="0059357E">
        <w:t xml:space="preserve">the </w:t>
      </w:r>
      <w:r w:rsidRPr="006552E9">
        <w:t>Te Manu Ka Tau programme to experience New Zealand art in its local context.</w:t>
      </w:r>
      <w:r w:rsidR="00175E6D" w:rsidRPr="006552E9">
        <w:t xml:space="preserve"> </w:t>
      </w:r>
      <w:r w:rsidRPr="006552E9">
        <w:t>We took 41 New Zealand artists and representatives to four designated, receptive international markets to display their works and introduce them to potential buyers or distributors.</w:t>
      </w:r>
      <w:r w:rsidR="00175E6D" w:rsidRPr="006552E9">
        <w:t xml:space="preserve"> </w:t>
      </w:r>
    </w:p>
    <w:p w:rsidR="003027E3" w:rsidRPr="006552E9" w:rsidRDefault="003027E3" w:rsidP="003027E3">
      <w:pPr>
        <w:autoSpaceDE w:val="0"/>
        <w:autoSpaceDN w:val="0"/>
        <w:adjustRightInd w:val="0"/>
      </w:pPr>
      <w:r w:rsidRPr="006552E9">
        <w:t>We provided capability building for those wanting to develop skills to engage with international markets and audiences.</w:t>
      </w:r>
      <w:r w:rsidR="00175E6D" w:rsidRPr="006552E9">
        <w:t xml:space="preserve"> </w:t>
      </w:r>
      <w:r w:rsidRPr="006552E9">
        <w:t xml:space="preserve">We also supported 67 artists and organisations wanting to undertake international projects through the </w:t>
      </w:r>
      <w:r w:rsidR="005F313D" w:rsidRPr="006552E9">
        <w:t>G</w:t>
      </w:r>
      <w:r w:rsidRPr="006552E9">
        <w:t>rants and special opportunities programme and a further 28 artists and organisations who have previously appeared at a market or fair and who subsequently received invitations to tour work overseas.</w:t>
      </w:r>
    </w:p>
    <w:p w:rsidR="003027E3" w:rsidRPr="006552E9" w:rsidRDefault="003027E3" w:rsidP="003027E3">
      <w:pPr>
        <w:autoSpaceDE w:val="0"/>
        <w:autoSpaceDN w:val="0"/>
        <w:adjustRightInd w:val="0"/>
      </w:pPr>
      <w:r w:rsidRPr="006552E9">
        <w:t>During 2012/13, Creative New Zealand provided support to three major arts events arising from government-to-government invitations.</w:t>
      </w:r>
      <w:r w:rsidR="00175E6D" w:rsidRPr="006552E9">
        <w:t xml:space="preserve"> </w:t>
      </w:r>
    </w:p>
    <w:p w:rsidR="003027E3" w:rsidRPr="006552E9" w:rsidRDefault="003027E3" w:rsidP="003027E3">
      <w:pPr>
        <w:autoSpaceDE w:val="0"/>
        <w:autoSpaceDN w:val="0"/>
        <w:adjustRightInd w:val="0"/>
        <w:rPr>
          <w:u w:val="single"/>
        </w:rPr>
      </w:pPr>
      <w:r w:rsidRPr="006552E9">
        <w:t>The four yearly Festival of Pacific Arts was held in the Solomon Islands in July 2012.</w:t>
      </w:r>
      <w:r w:rsidR="00175E6D" w:rsidRPr="006552E9">
        <w:t xml:space="preserve"> </w:t>
      </w:r>
      <w:r w:rsidRPr="006552E9">
        <w:t>New Zealand was represented by a delegation of nearly 100 artists, plus support staff.</w:t>
      </w:r>
      <w:r w:rsidR="00175E6D" w:rsidRPr="006552E9">
        <w:t xml:space="preserve"> </w:t>
      </w:r>
      <w:r w:rsidRPr="006552E9">
        <w:t>Up to 200,000 people shared in the festival, which celebrate</w:t>
      </w:r>
      <w:r w:rsidR="00642CA2" w:rsidRPr="006552E9">
        <w:t>s</w:t>
      </w:r>
      <w:r w:rsidRPr="006552E9">
        <w:t>, preserve</w:t>
      </w:r>
      <w:r w:rsidR="00A06616" w:rsidRPr="006552E9">
        <w:t>s</w:t>
      </w:r>
      <w:r w:rsidRPr="006552E9">
        <w:t xml:space="preserve"> and promote</w:t>
      </w:r>
      <w:r w:rsidR="00A06616" w:rsidRPr="006552E9">
        <w:t>s</w:t>
      </w:r>
      <w:r w:rsidRPr="006552E9">
        <w:t xml:space="preserve"> Pacific arts and culture.</w:t>
      </w:r>
    </w:p>
    <w:p w:rsidR="003027E3" w:rsidRPr="006552E9" w:rsidRDefault="003027E3" w:rsidP="003027E3">
      <w:pPr>
        <w:autoSpaceDE w:val="0"/>
        <w:autoSpaceDN w:val="0"/>
        <w:adjustRightInd w:val="0"/>
      </w:pPr>
      <w:r w:rsidRPr="006552E9">
        <w:rPr>
          <w:rFonts w:cs="Arial"/>
          <w:szCs w:val="22"/>
        </w:rPr>
        <w:t>New Zealand was the Guest Country of Honour at the 2012 Frankfurt Book Fair, held in October 2012.</w:t>
      </w:r>
      <w:r w:rsidR="00175E6D" w:rsidRPr="006552E9">
        <w:rPr>
          <w:rFonts w:cs="Arial"/>
          <w:szCs w:val="22"/>
        </w:rPr>
        <w:t xml:space="preserve"> </w:t>
      </w:r>
      <w:r w:rsidRPr="006552E9">
        <w:t xml:space="preserve">The project was led by the Ministry for Culture and Heritage and </w:t>
      </w:r>
      <w:r w:rsidRPr="006552E9">
        <w:rPr>
          <w:rFonts w:cs="Arial"/>
          <w:szCs w:val="22"/>
        </w:rPr>
        <w:t xml:space="preserve">Creative New </w:t>
      </w:r>
      <w:r w:rsidRPr="006552E9">
        <w:t>Zealand’s investment was targeted at the literary programme, arts and culture programme, the New Zealand Pavilion, website and translation costs.</w:t>
      </w:r>
    </w:p>
    <w:p w:rsidR="003027E3" w:rsidRPr="006552E9" w:rsidRDefault="003027E3" w:rsidP="003027E3">
      <w:pPr>
        <w:autoSpaceDE w:val="0"/>
        <w:autoSpaceDN w:val="0"/>
        <w:adjustRightInd w:val="0"/>
        <w:rPr>
          <w:rFonts w:cs="Arial"/>
          <w:szCs w:val="22"/>
        </w:rPr>
      </w:pPr>
      <w:r w:rsidRPr="006552E9">
        <w:t xml:space="preserve">The highly successful 2013 Venice Biennale, featuring artist Bill Culbert’s installation </w:t>
      </w:r>
      <w:r w:rsidRPr="006552E9">
        <w:rPr>
          <w:i/>
        </w:rPr>
        <w:t>Front Door Out Back</w:t>
      </w:r>
      <w:r w:rsidRPr="006552E9">
        <w:t xml:space="preserve"> held at </w:t>
      </w:r>
      <w:r w:rsidRPr="006552E9">
        <w:rPr>
          <w:rFonts w:cs="Arial"/>
          <w:szCs w:val="22"/>
        </w:rPr>
        <w:t>the Istituto Santa Maria della Pietà, attracted over 21,000 visitors in June 2013 alone and received widespread positive media coverage, both in New Zealand and overseas.</w:t>
      </w:r>
      <w:r w:rsidR="00175E6D" w:rsidRPr="006552E9">
        <w:rPr>
          <w:rFonts w:cs="Arial"/>
          <w:szCs w:val="22"/>
        </w:rPr>
        <w:t xml:space="preserve"> </w:t>
      </w:r>
    </w:p>
    <w:p w:rsidR="003027E3" w:rsidRPr="006552E9" w:rsidRDefault="00384555" w:rsidP="003027E3">
      <w:pPr>
        <w:autoSpaceDE w:val="0"/>
        <w:autoSpaceDN w:val="0"/>
        <w:adjustRightInd w:val="0"/>
      </w:pPr>
      <w:r w:rsidRPr="0059357E">
        <w:rPr>
          <w:rFonts w:cs="Tahoma"/>
        </w:rPr>
        <w:t>Figure 1</w:t>
      </w:r>
      <w:r w:rsidR="00DE3684">
        <w:rPr>
          <w:rFonts w:cs="Tahoma"/>
        </w:rPr>
        <w:t>8</w:t>
      </w:r>
      <w:r w:rsidRPr="0059357E">
        <w:rPr>
          <w:rFonts w:cs="Tahoma"/>
        </w:rPr>
        <w:t xml:space="preserve"> shows how the investment in outcome 4 has developed over the past four years, in terms of contributions from the different funding programmes and total expenditure.</w:t>
      </w:r>
    </w:p>
    <w:p w:rsidR="003027E3" w:rsidRPr="006552E9" w:rsidRDefault="005D6E4A" w:rsidP="003027E3">
      <w:pPr>
        <w:keepNext/>
      </w:pPr>
      <w:r>
        <w:pict>
          <v:shape id="_x0000_i1034" type="#_x0000_t75" alt="Stacked bar chart showing the funding for outcome 4, by programme and year&#10;&#10;Programme 2009/10 2010/11 2011/12 2012/13&#10;Tōtara programme (was RFOs)  $731,810   $731,810   $481,688   $481,688 &#10;Kahikatea programme  $-     $-     $60,000   $149,200 &#10;Grants &amp; special opportunities  $743,043   $642,108   $788,862   $757,607 &#10;International presentation &amp; cultural exchange  $164,214   $402,331   $370,273   $704,534 &#10;Major international events  $593,766   $966,309   $1,871,443   $1,510,590 &#10;Capability building   $652,629   $699,223   $529,993   $509,987 &#10;Advocacy  $-     $26,316   $-     $-   &#10;Total invested  $2,885,462   $3,468,097   $4,102,259   $4,113,606 &#10;" style="width:297.4pt;height:261.1pt">
            <v:imagedata r:id="rId36"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18</w:t>
      </w:r>
      <w:r w:rsidR="006E1B57" w:rsidRPr="006552E9">
        <w:fldChar w:fldCharType="end"/>
      </w:r>
      <w:r w:rsidRPr="006552E9">
        <w:t xml:space="preserve">: Outcome 4, </w:t>
      </w:r>
      <w:r w:rsidR="0059357E">
        <w:t>investment</w:t>
      </w:r>
      <w:r w:rsidRPr="006552E9">
        <w:t xml:space="preserve"> by programme, 2009/10 to 2012/13</w:t>
      </w:r>
    </w:p>
    <w:p w:rsidR="003027E3" w:rsidRPr="006552E9" w:rsidRDefault="003027E3" w:rsidP="003027E3">
      <w:pPr>
        <w:pStyle w:val="Heading3"/>
      </w:pPr>
      <w:bookmarkStart w:id="48" w:name="_Toc373415026"/>
      <w:r w:rsidRPr="006552E9">
        <w:t>How we performed</w:t>
      </w:r>
      <w:bookmarkEnd w:id="48"/>
    </w:p>
    <w:p w:rsidR="003027E3" w:rsidRPr="006552E9" w:rsidRDefault="003027E3" w:rsidP="003027E3"/>
    <w:p w:rsidR="003027E3" w:rsidRPr="006552E9" w:rsidRDefault="003027E3" w:rsidP="003027E3">
      <w:pPr>
        <w:pStyle w:val="Caption"/>
        <w:keepNext/>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4</w:t>
      </w:r>
      <w:r w:rsidR="006E1B57" w:rsidRPr="006552E9">
        <w:fldChar w:fldCharType="end"/>
      </w:r>
      <w:r w:rsidRPr="006552E9">
        <w:t>: Proof of performance, Outcome 4, 2009/10 to 2012/13</w:t>
      </w:r>
    </w:p>
    <w:tbl>
      <w:tblPr>
        <w:tblW w:w="9745" w:type="dxa"/>
        <w:tblInd w:w="93" w:type="dxa"/>
        <w:tblCellMar>
          <w:top w:w="28" w:type="dxa"/>
          <w:left w:w="57" w:type="dxa"/>
          <w:bottom w:w="28" w:type="dxa"/>
          <w:right w:w="57" w:type="dxa"/>
        </w:tblCellMar>
        <w:tblLook w:val="04A0" w:firstRow="1" w:lastRow="0" w:firstColumn="1" w:lastColumn="0" w:noHBand="0" w:noVBand="1"/>
      </w:tblPr>
      <w:tblGrid>
        <w:gridCol w:w="1062"/>
        <w:gridCol w:w="1596"/>
        <w:gridCol w:w="920"/>
        <w:gridCol w:w="920"/>
        <w:gridCol w:w="920"/>
        <w:gridCol w:w="1103"/>
        <w:gridCol w:w="955"/>
        <w:gridCol w:w="832"/>
        <w:gridCol w:w="1437"/>
      </w:tblGrid>
      <w:tr w:rsidR="00A245FF" w:rsidRPr="00A245FF" w:rsidTr="00A245FF">
        <w:trPr>
          <w:trHeight w:val="255"/>
          <w:tblHeader/>
        </w:trPr>
        <w:tc>
          <w:tcPr>
            <w:tcW w:w="2658" w:type="dxa"/>
            <w:gridSpan w:val="2"/>
            <w:vMerge w:val="restart"/>
            <w:tcBorders>
              <w:top w:val="single" w:sz="4" w:space="0" w:color="auto"/>
              <w:left w:val="single" w:sz="4" w:space="0" w:color="auto"/>
              <w:bottom w:val="single" w:sz="4" w:space="0" w:color="000000"/>
              <w:right w:val="single" w:sz="4" w:space="0" w:color="000000"/>
            </w:tcBorders>
            <w:shd w:val="clear" w:color="000000" w:fill="B8CCE4"/>
            <w:noWrap/>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2760"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Past years</w:t>
            </w:r>
          </w:p>
        </w:tc>
        <w:tc>
          <w:tcPr>
            <w:tcW w:w="4327"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Current year</w:t>
            </w:r>
          </w:p>
        </w:tc>
      </w:tr>
      <w:tr w:rsidR="00A245FF" w:rsidRPr="00A245FF" w:rsidTr="00A245FF">
        <w:trPr>
          <w:trHeight w:val="1080"/>
          <w:tblHeader/>
        </w:trPr>
        <w:tc>
          <w:tcPr>
            <w:tcW w:w="2658" w:type="dxa"/>
            <w:gridSpan w:val="2"/>
            <w:vMerge/>
            <w:tcBorders>
              <w:top w:val="single" w:sz="4" w:space="0" w:color="auto"/>
              <w:left w:val="single" w:sz="4" w:space="0" w:color="auto"/>
              <w:bottom w:val="single" w:sz="4" w:space="0" w:color="000000"/>
              <w:right w:val="single" w:sz="4" w:space="0" w:color="000000"/>
            </w:tcBorders>
            <w:vAlign w:val="center"/>
            <w:hideMark/>
          </w:tcPr>
          <w:p w:rsidR="00A245FF" w:rsidRPr="00A245FF" w:rsidRDefault="00A245FF" w:rsidP="00A245FF">
            <w:pPr>
              <w:spacing w:before="0"/>
              <w:jc w:val="left"/>
              <w:rPr>
                <w:rFonts w:ascii="Arial Narrow" w:hAnsi="Arial Narrow"/>
                <w:b/>
                <w:bCs/>
                <w:color w:val="000000"/>
                <w:sz w:val="18"/>
                <w:szCs w:val="18"/>
              </w:rPr>
            </w:pPr>
          </w:p>
        </w:tc>
        <w:tc>
          <w:tcPr>
            <w:tcW w:w="920" w:type="dxa"/>
            <w:tcBorders>
              <w:top w:val="nil"/>
              <w:left w:val="nil"/>
              <w:bottom w:val="single" w:sz="4" w:space="0" w:color="auto"/>
              <w:right w:val="single" w:sz="4" w:space="0" w:color="auto"/>
            </w:tcBorders>
            <w:shd w:val="clear" w:color="000000" w:fill="B8CCE4"/>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2009/10 Actual</w:t>
            </w:r>
          </w:p>
        </w:tc>
        <w:tc>
          <w:tcPr>
            <w:tcW w:w="920" w:type="dxa"/>
            <w:tcBorders>
              <w:top w:val="nil"/>
              <w:left w:val="nil"/>
              <w:bottom w:val="single" w:sz="4" w:space="0" w:color="auto"/>
              <w:right w:val="single" w:sz="4" w:space="0" w:color="auto"/>
            </w:tcBorders>
            <w:shd w:val="clear" w:color="000000" w:fill="B8CCE4"/>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2010/11 Actual</w:t>
            </w:r>
          </w:p>
        </w:tc>
        <w:tc>
          <w:tcPr>
            <w:tcW w:w="920" w:type="dxa"/>
            <w:tcBorders>
              <w:top w:val="nil"/>
              <w:left w:val="nil"/>
              <w:bottom w:val="single" w:sz="4" w:space="0" w:color="auto"/>
              <w:right w:val="nil"/>
            </w:tcBorders>
            <w:shd w:val="clear" w:color="000000" w:fill="B8CCE4"/>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xml:space="preserve">2011/12 Actual </w:t>
            </w:r>
          </w:p>
        </w:tc>
        <w:tc>
          <w:tcPr>
            <w:tcW w:w="1103" w:type="dxa"/>
            <w:tcBorders>
              <w:top w:val="nil"/>
              <w:left w:val="single" w:sz="4" w:space="0" w:color="auto"/>
              <w:bottom w:val="single" w:sz="4" w:space="0" w:color="auto"/>
              <w:right w:val="single" w:sz="4" w:space="0" w:color="auto"/>
            </w:tcBorders>
            <w:shd w:val="clear" w:color="000000" w:fill="B8CCE4"/>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2012/13 Forecast</w:t>
            </w:r>
          </w:p>
        </w:tc>
        <w:tc>
          <w:tcPr>
            <w:tcW w:w="955" w:type="dxa"/>
            <w:tcBorders>
              <w:top w:val="nil"/>
              <w:left w:val="nil"/>
              <w:bottom w:val="single" w:sz="4" w:space="0" w:color="auto"/>
              <w:right w:val="nil"/>
            </w:tcBorders>
            <w:shd w:val="clear" w:color="000000" w:fill="B8CCE4"/>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xml:space="preserve">2012/13 Actual </w:t>
            </w:r>
          </w:p>
        </w:tc>
        <w:tc>
          <w:tcPr>
            <w:tcW w:w="832" w:type="dxa"/>
            <w:tcBorders>
              <w:top w:val="nil"/>
              <w:left w:val="single" w:sz="4" w:space="0" w:color="auto"/>
              <w:bottom w:val="nil"/>
              <w:right w:val="single" w:sz="4" w:space="0" w:color="auto"/>
            </w:tcBorders>
            <w:shd w:val="clear" w:color="000000" w:fill="B8CCE4"/>
            <w:vAlign w:val="center"/>
            <w:hideMark/>
          </w:tcPr>
          <w:p w:rsidR="00A245FF" w:rsidRPr="00A245FF" w:rsidRDefault="00A245FF" w:rsidP="00286BC4">
            <w:pPr>
              <w:spacing w:before="0"/>
              <w:jc w:val="center"/>
              <w:rPr>
                <w:rFonts w:ascii="Arial Narrow" w:hAnsi="Arial Narrow"/>
                <w:b/>
                <w:bCs/>
                <w:color w:val="000000"/>
                <w:sz w:val="18"/>
                <w:szCs w:val="18"/>
              </w:rPr>
            </w:pPr>
            <w:r w:rsidRPr="00A245FF">
              <w:rPr>
                <w:rFonts w:ascii="Arial Narrow" w:hAnsi="Arial Narrow"/>
                <w:b/>
                <w:bCs/>
                <w:color w:val="000000"/>
                <w:sz w:val="18"/>
                <w:szCs w:val="18"/>
              </w:rPr>
              <w:t xml:space="preserve">Variance to </w:t>
            </w:r>
            <w:r w:rsidR="00286BC4">
              <w:rPr>
                <w:rFonts w:ascii="Arial Narrow" w:hAnsi="Arial Narrow"/>
                <w:b/>
                <w:bCs/>
                <w:color w:val="000000"/>
                <w:sz w:val="18"/>
                <w:szCs w:val="18"/>
              </w:rPr>
              <w:t>f</w:t>
            </w:r>
            <w:r w:rsidRPr="00A245FF">
              <w:rPr>
                <w:rFonts w:ascii="Arial Narrow" w:hAnsi="Arial Narrow"/>
                <w:b/>
                <w:bCs/>
                <w:color w:val="000000"/>
                <w:sz w:val="18"/>
                <w:szCs w:val="18"/>
              </w:rPr>
              <w:t xml:space="preserve">orecast </w:t>
            </w:r>
            <w:r w:rsidRPr="00A245FF">
              <w:rPr>
                <w:rFonts w:ascii="Arial Narrow" w:hAnsi="Arial Narrow"/>
                <w:b/>
                <w:bCs/>
                <w:color w:val="000000"/>
                <w:sz w:val="18"/>
                <w:szCs w:val="18"/>
              </w:rPr>
              <w:br/>
              <w:t>(+/</w:t>
            </w:r>
            <w:r w:rsidR="00286BC4">
              <w:rPr>
                <w:rFonts w:ascii="Arial Narrow" w:hAnsi="Arial Narrow"/>
                <w:b/>
                <w:bCs/>
                <w:color w:val="000000"/>
                <w:sz w:val="18"/>
                <w:szCs w:val="18"/>
              </w:rPr>
              <w:t>–</w:t>
            </w:r>
            <w:r w:rsidRPr="00A245FF">
              <w:rPr>
                <w:rFonts w:ascii="Arial Narrow" w:hAnsi="Arial Narrow"/>
                <w:b/>
                <w:bCs/>
                <w:color w:val="000000"/>
                <w:sz w:val="18"/>
                <w:szCs w:val="18"/>
              </w:rPr>
              <w:t>%)</w:t>
            </w:r>
          </w:p>
        </w:tc>
        <w:tc>
          <w:tcPr>
            <w:tcW w:w="1437" w:type="dxa"/>
            <w:tcBorders>
              <w:top w:val="nil"/>
              <w:left w:val="nil"/>
              <w:bottom w:val="single" w:sz="4" w:space="0" w:color="auto"/>
              <w:right w:val="single" w:sz="4" w:space="0" w:color="auto"/>
            </w:tcBorders>
            <w:shd w:val="clear" w:color="000000" w:fill="B8CCE4"/>
            <w:vAlign w:val="center"/>
            <w:hideMark/>
          </w:tcPr>
          <w:p w:rsidR="00A245FF" w:rsidRPr="00A245FF" w:rsidRDefault="00A245FF" w:rsidP="00A245FF">
            <w:pPr>
              <w:spacing w:before="0"/>
              <w:jc w:val="left"/>
              <w:rPr>
                <w:rFonts w:ascii="Arial Narrow" w:hAnsi="Arial Narrow"/>
                <w:b/>
                <w:bCs/>
                <w:color w:val="000000"/>
                <w:sz w:val="18"/>
                <w:szCs w:val="18"/>
              </w:rPr>
            </w:pPr>
            <w:r w:rsidRPr="00A245FF">
              <w:rPr>
                <w:rFonts w:ascii="Arial Narrow" w:hAnsi="Arial Narrow"/>
                <w:b/>
                <w:bCs/>
                <w:color w:val="000000"/>
                <w:sz w:val="18"/>
                <w:szCs w:val="18"/>
              </w:rPr>
              <w:t>Notes</w:t>
            </w:r>
          </w:p>
        </w:tc>
      </w:tr>
      <w:tr w:rsidR="00A245FF" w:rsidRPr="00A245FF" w:rsidTr="00A245FF">
        <w:trPr>
          <w:trHeight w:val="255"/>
        </w:trPr>
        <w:tc>
          <w:tcPr>
            <w:tcW w:w="1062" w:type="dxa"/>
            <w:tcBorders>
              <w:top w:val="nil"/>
              <w:left w:val="single" w:sz="4" w:space="0" w:color="auto"/>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b/>
                <w:bCs/>
                <w:color w:val="000000"/>
                <w:sz w:val="18"/>
                <w:szCs w:val="18"/>
              </w:rPr>
            </w:pPr>
            <w:r w:rsidRPr="00A245FF">
              <w:rPr>
                <w:rFonts w:ascii="Arial Narrow" w:hAnsi="Arial Narrow"/>
                <w:b/>
                <w:bCs/>
                <w:color w:val="000000"/>
                <w:sz w:val="18"/>
                <w:szCs w:val="18"/>
              </w:rPr>
              <w:t>Investment</w:t>
            </w:r>
          </w:p>
        </w:tc>
        <w:tc>
          <w:tcPr>
            <w:tcW w:w="1596" w:type="dxa"/>
            <w:tcBorders>
              <w:top w:val="nil"/>
              <w:left w:val="nil"/>
              <w:bottom w:val="nil"/>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20"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920"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920"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1103"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955"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832" w:type="dxa"/>
            <w:tcBorders>
              <w:top w:val="single" w:sz="4" w:space="0" w:color="auto"/>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c>
          <w:tcPr>
            <w:tcW w:w="1437" w:type="dxa"/>
            <w:tcBorders>
              <w:top w:val="nil"/>
              <w:left w:val="nil"/>
              <w:bottom w:val="single" w:sz="4" w:space="0" w:color="auto"/>
              <w:right w:val="single" w:sz="4" w:space="0" w:color="auto"/>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 </w:t>
            </w:r>
          </w:p>
        </w:tc>
      </w:tr>
      <w:tr w:rsidR="00A245FF" w:rsidRPr="00A245FF" w:rsidTr="00A245FF">
        <w:trPr>
          <w:trHeight w:val="270"/>
        </w:trPr>
        <w:tc>
          <w:tcPr>
            <w:tcW w:w="26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Total investment</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A245FF">
              <w:rPr>
                <w:rFonts w:ascii="Arial Narrow" w:hAnsi="Arial Narrow"/>
                <w:color w:val="000000"/>
                <w:sz w:val="18"/>
                <w:szCs w:val="18"/>
              </w:rPr>
              <w:t xml:space="preserve"> all programmes</w:t>
            </w:r>
          </w:p>
        </w:tc>
        <w:tc>
          <w:tcPr>
            <w:tcW w:w="920"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$ 2,885,462</w:t>
            </w:r>
          </w:p>
        </w:tc>
        <w:tc>
          <w:tcPr>
            <w:tcW w:w="920"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$ 3,468,097</w:t>
            </w:r>
          </w:p>
        </w:tc>
        <w:tc>
          <w:tcPr>
            <w:tcW w:w="920"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$ 4,102,259</w:t>
            </w:r>
          </w:p>
        </w:tc>
        <w:tc>
          <w:tcPr>
            <w:tcW w:w="1103"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$ 4,104,143</w:t>
            </w:r>
          </w:p>
        </w:tc>
        <w:tc>
          <w:tcPr>
            <w:tcW w:w="955"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$ 4,113,606</w:t>
            </w:r>
          </w:p>
        </w:tc>
        <w:tc>
          <w:tcPr>
            <w:tcW w:w="832" w:type="dxa"/>
            <w:tcBorders>
              <w:top w:val="nil"/>
              <w:left w:val="nil"/>
              <w:bottom w:val="nil"/>
              <w:right w:val="single" w:sz="4" w:space="0" w:color="auto"/>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0%</w:t>
            </w:r>
          </w:p>
        </w:tc>
        <w:tc>
          <w:tcPr>
            <w:tcW w:w="1437" w:type="dxa"/>
            <w:tcBorders>
              <w:top w:val="nil"/>
              <w:left w:val="nil"/>
              <w:bottom w:val="nil"/>
              <w:right w:val="single" w:sz="4" w:space="0" w:color="auto"/>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r>
      <w:tr w:rsidR="00A245FF" w:rsidRPr="00A245FF" w:rsidTr="00A245FF">
        <w:trPr>
          <w:trHeight w:val="255"/>
        </w:trPr>
        <w:tc>
          <w:tcPr>
            <w:tcW w:w="1062" w:type="dxa"/>
            <w:tcBorders>
              <w:top w:val="nil"/>
              <w:left w:val="single" w:sz="4" w:space="0" w:color="auto"/>
              <w:bottom w:val="single" w:sz="4" w:space="0" w:color="auto"/>
              <w:right w:val="single" w:sz="4" w:space="0" w:color="auto"/>
            </w:tcBorders>
            <w:shd w:val="clear" w:color="000000" w:fill="DCE6F1"/>
            <w:noWrap/>
            <w:vAlign w:val="center"/>
            <w:hideMark/>
          </w:tcPr>
          <w:p w:rsidR="00A245FF" w:rsidRPr="00A245FF" w:rsidRDefault="00A245FF" w:rsidP="00A245FF">
            <w:pPr>
              <w:spacing w:before="0"/>
              <w:jc w:val="left"/>
              <w:rPr>
                <w:rFonts w:ascii="Arial Narrow" w:hAnsi="Arial Narrow"/>
                <w:b/>
                <w:bCs/>
                <w:color w:val="000000"/>
                <w:sz w:val="18"/>
                <w:szCs w:val="18"/>
              </w:rPr>
            </w:pPr>
            <w:r w:rsidRPr="00A245FF">
              <w:rPr>
                <w:rFonts w:ascii="Arial Narrow" w:hAnsi="Arial Narrow"/>
                <w:b/>
                <w:bCs/>
                <w:color w:val="000000"/>
                <w:sz w:val="18"/>
                <w:szCs w:val="18"/>
              </w:rPr>
              <w:t>Impact</w:t>
            </w:r>
          </w:p>
        </w:tc>
        <w:tc>
          <w:tcPr>
            <w:tcW w:w="1596" w:type="dxa"/>
            <w:tcBorders>
              <w:top w:val="nil"/>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Measure</w:t>
            </w:r>
          </w:p>
        </w:tc>
        <w:tc>
          <w:tcPr>
            <w:tcW w:w="920"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20"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20"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1103"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55"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832" w:type="dxa"/>
            <w:tcBorders>
              <w:top w:val="single" w:sz="4" w:space="0" w:color="auto"/>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1437" w:type="dxa"/>
            <w:tcBorders>
              <w:top w:val="single" w:sz="4" w:space="0" w:color="auto"/>
              <w:left w:val="nil"/>
              <w:bottom w:val="single" w:sz="4" w:space="0" w:color="auto"/>
              <w:right w:val="single" w:sz="4" w:space="0" w:color="auto"/>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r>
      <w:tr w:rsidR="00A245FF" w:rsidRPr="00A245FF" w:rsidTr="00A245FF">
        <w:tc>
          <w:tcPr>
            <w:tcW w:w="1062" w:type="dxa"/>
            <w:vMerge w:val="restart"/>
            <w:tcBorders>
              <w:top w:val="nil"/>
              <w:left w:val="single" w:sz="4" w:space="0" w:color="auto"/>
              <w:bottom w:val="single" w:sz="4" w:space="0" w:color="000000"/>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i/>
                <w:iCs/>
                <w:color w:val="000000"/>
                <w:sz w:val="18"/>
                <w:szCs w:val="18"/>
              </w:rPr>
            </w:pPr>
            <w:r w:rsidRPr="00A245FF">
              <w:rPr>
                <w:rFonts w:ascii="Arial Narrow" w:hAnsi="Arial Narrow"/>
                <w:i/>
                <w:iCs/>
                <w:color w:val="000000"/>
                <w:sz w:val="18"/>
                <w:szCs w:val="18"/>
              </w:rPr>
              <w:t>New Zealand's distinctive voice is heard overseas</w:t>
            </w:r>
          </w:p>
        </w:tc>
        <w:tc>
          <w:tcPr>
            <w:tcW w:w="1596" w:type="dxa"/>
            <w:vMerge w:val="restart"/>
            <w:tcBorders>
              <w:top w:val="nil"/>
              <w:left w:val="single" w:sz="4" w:space="0" w:color="auto"/>
              <w:bottom w:val="single" w:sz="4" w:space="0" w:color="000000"/>
              <w:right w:val="single" w:sz="4" w:space="0" w:color="auto"/>
            </w:tcBorders>
            <w:shd w:val="clear" w:color="auto" w:fill="auto"/>
            <w:vAlign w:val="center"/>
            <w:hideMark/>
          </w:tcPr>
          <w:p w:rsidR="00A245FF" w:rsidRPr="00A245FF" w:rsidRDefault="00A245FF" w:rsidP="00286BC4">
            <w:pPr>
              <w:spacing w:before="0"/>
              <w:jc w:val="left"/>
              <w:rPr>
                <w:rFonts w:ascii="Arial Narrow" w:hAnsi="Arial Narrow"/>
                <w:color w:val="000000"/>
                <w:sz w:val="18"/>
                <w:szCs w:val="18"/>
              </w:rPr>
            </w:pPr>
            <w:r w:rsidRPr="00A245FF">
              <w:rPr>
                <w:rFonts w:ascii="Arial Narrow" w:hAnsi="Arial Narrow"/>
                <w:color w:val="000000"/>
                <w:sz w:val="18"/>
                <w:szCs w:val="18"/>
              </w:rPr>
              <w:t>Number of artists and arts organisations funded by Creative New Zealand to perform</w:t>
            </w:r>
            <w:r w:rsidR="00286BC4">
              <w:rPr>
                <w:rFonts w:ascii="Arial Narrow" w:hAnsi="Arial Narrow"/>
                <w:color w:val="000000"/>
                <w:sz w:val="18"/>
                <w:szCs w:val="18"/>
              </w:rPr>
              <w:t xml:space="preserve">, </w:t>
            </w:r>
            <w:r w:rsidRPr="00A245FF">
              <w:rPr>
                <w:rFonts w:ascii="Arial Narrow" w:hAnsi="Arial Narrow"/>
                <w:color w:val="000000"/>
                <w:sz w:val="18"/>
                <w:szCs w:val="18"/>
              </w:rPr>
              <w:t xml:space="preserve"> present</w:t>
            </w:r>
            <w:r w:rsidR="00286BC4">
              <w:rPr>
                <w:rFonts w:ascii="Arial Narrow" w:hAnsi="Arial Narrow"/>
                <w:color w:val="000000"/>
                <w:sz w:val="18"/>
                <w:szCs w:val="18"/>
              </w:rPr>
              <w:t xml:space="preserve"> or </w:t>
            </w:r>
            <w:r w:rsidRPr="00A245FF">
              <w:rPr>
                <w:rFonts w:ascii="Arial Narrow" w:hAnsi="Arial Narrow"/>
                <w:color w:val="000000"/>
                <w:sz w:val="18"/>
                <w:szCs w:val="18"/>
              </w:rPr>
              <w:t>exhibit overseas and the number of their performances</w:t>
            </w:r>
            <w:r w:rsidR="00286BC4">
              <w:rPr>
                <w:rFonts w:ascii="Arial Narrow" w:hAnsi="Arial Narrow"/>
                <w:color w:val="000000"/>
                <w:sz w:val="18"/>
                <w:szCs w:val="18"/>
              </w:rPr>
              <w:t xml:space="preserve"> and</w:t>
            </w:r>
            <w:r w:rsidRPr="00A245FF">
              <w:rPr>
                <w:rFonts w:ascii="Arial Narrow" w:hAnsi="Arial Narrow"/>
                <w:color w:val="000000"/>
                <w:sz w:val="18"/>
                <w:szCs w:val="18"/>
              </w:rPr>
              <w:t>/</w:t>
            </w:r>
            <w:r w:rsidR="00286BC4">
              <w:rPr>
                <w:rFonts w:ascii="Arial Narrow" w:hAnsi="Arial Narrow"/>
                <w:color w:val="000000"/>
                <w:sz w:val="18"/>
                <w:szCs w:val="18"/>
              </w:rPr>
              <w:t>or</w:t>
            </w:r>
            <w:r>
              <w:rPr>
                <w:rFonts w:ascii="Arial Narrow" w:hAnsi="Arial Narrow"/>
                <w:color w:val="000000"/>
                <w:sz w:val="18"/>
                <w:szCs w:val="18"/>
              </w:rPr>
              <w:t xml:space="preserve"> </w:t>
            </w:r>
            <w:r w:rsidRPr="00A245FF">
              <w:rPr>
                <w:rFonts w:ascii="Arial Narrow" w:hAnsi="Arial Narrow"/>
                <w:color w:val="000000"/>
                <w:sz w:val="18"/>
                <w:szCs w:val="18"/>
              </w:rPr>
              <w:t>presentations</w:t>
            </w:r>
          </w:p>
        </w:tc>
        <w:tc>
          <w:tcPr>
            <w:tcW w:w="27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New measure</w:t>
            </w:r>
          </w:p>
        </w:tc>
        <w:tc>
          <w:tcPr>
            <w:tcW w:w="1103"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Calibri" w:hAnsi="Calibri"/>
                <w:color w:val="000000"/>
                <w:sz w:val="18"/>
                <w:szCs w:val="18"/>
              </w:rPr>
              <w:t>≥</w:t>
            </w:r>
            <w:r w:rsidRPr="00A245FF">
              <w:rPr>
                <w:rFonts w:ascii="Arial Narrow" w:hAnsi="Arial Narrow"/>
                <w:color w:val="000000"/>
                <w:sz w:val="18"/>
                <w:szCs w:val="18"/>
              </w:rPr>
              <w:t xml:space="preserve"> 80 artists/ organisations</w:t>
            </w:r>
          </w:p>
        </w:tc>
        <w:tc>
          <w:tcPr>
            <w:tcW w:w="955" w:type="dxa"/>
            <w:tcBorders>
              <w:top w:val="nil"/>
              <w:left w:val="nil"/>
              <w:bottom w:val="single" w:sz="4" w:space="0" w:color="auto"/>
              <w:right w:val="single" w:sz="4" w:space="0" w:color="auto"/>
            </w:tcBorders>
            <w:shd w:val="clear" w:color="000000" w:fill="FFFFFF"/>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264</w:t>
            </w:r>
          </w:p>
        </w:tc>
        <w:tc>
          <w:tcPr>
            <w:tcW w:w="832" w:type="dxa"/>
            <w:tcBorders>
              <w:top w:val="nil"/>
              <w:left w:val="nil"/>
              <w:bottom w:val="single" w:sz="4" w:space="0" w:color="auto"/>
              <w:right w:val="single" w:sz="4" w:space="0" w:color="auto"/>
            </w:tcBorders>
            <w:shd w:val="clear" w:color="000000" w:fill="FFFFFF"/>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230%</w:t>
            </w:r>
          </w:p>
        </w:tc>
        <w:tc>
          <w:tcPr>
            <w:tcW w:w="1437" w:type="dxa"/>
            <w:tcBorders>
              <w:top w:val="nil"/>
              <w:left w:val="nil"/>
              <w:bottom w:val="single" w:sz="4" w:space="0" w:color="auto"/>
              <w:right w:val="single" w:sz="4" w:space="0" w:color="auto"/>
            </w:tcBorders>
            <w:shd w:val="clear" w:color="000000" w:fill="FFFFFF"/>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Forecast significantly exceeded</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A245FF">
              <w:rPr>
                <w:rFonts w:ascii="Arial Narrow" w:hAnsi="Arial Narrow"/>
                <w:color w:val="000000"/>
                <w:sz w:val="18"/>
                <w:szCs w:val="18"/>
              </w:rPr>
              <w:t xml:space="preserve"> more international activity by more organisations/artists than anticipated</w:t>
            </w:r>
          </w:p>
        </w:tc>
      </w:tr>
      <w:tr w:rsidR="00A245FF" w:rsidRPr="00A245FF" w:rsidTr="005A5BBE">
        <w:trPr>
          <w:trHeight w:val="540"/>
        </w:trPr>
        <w:tc>
          <w:tcPr>
            <w:tcW w:w="1062" w:type="dxa"/>
            <w:vMerge/>
            <w:tcBorders>
              <w:top w:val="nil"/>
              <w:left w:val="single" w:sz="4" w:space="0" w:color="auto"/>
              <w:bottom w:val="single" w:sz="4" w:space="0" w:color="000000"/>
              <w:right w:val="single" w:sz="4" w:space="0" w:color="auto"/>
            </w:tcBorders>
            <w:vAlign w:val="center"/>
            <w:hideMark/>
          </w:tcPr>
          <w:p w:rsidR="00A245FF" w:rsidRPr="00A245FF" w:rsidRDefault="00A245FF" w:rsidP="00A245FF">
            <w:pPr>
              <w:spacing w:before="0"/>
              <w:jc w:val="left"/>
              <w:rPr>
                <w:rFonts w:ascii="Arial Narrow" w:hAnsi="Arial Narrow"/>
                <w:i/>
                <w:iCs/>
                <w:color w:val="000000"/>
                <w:sz w:val="18"/>
                <w:szCs w:val="18"/>
              </w:rPr>
            </w:pPr>
          </w:p>
        </w:tc>
        <w:tc>
          <w:tcPr>
            <w:tcW w:w="1596" w:type="dxa"/>
            <w:vMerge/>
            <w:tcBorders>
              <w:top w:val="nil"/>
              <w:left w:val="single" w:sz="4" w:space="0" w:color="auto"/>
              <w:bottom w:val="single" w:sz="4" w:space="0" w:color="000000"/>
              <w:right w:val="single" w:sz="4" w:space="0" w:color="auto"/>
            </w:tcBorders>
            <w:vAlign w:val="center"/>
            <w:hideMark/>
          </w:tcPr>
          <w:p w:rsidR="00A245FF" w:rsidRPr="00A245FF" w:rsidRDefault="00A245FF" w:rsidP="00A245FF">
            <w:pPr>
              <w:spacing w:before="0"/>
              <w:jc w:val="left"/>
              <w:rPr>
                <w:rFonts w:ascii="Arial Narrow" w:hAnsi="Arial Narrow"/>
                <w:color w:val="000000"/>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New measure</w:t>
            </w:r>
          </w:p>
        </w:tc>
        <w:tc>
          <w:tcPr>
            <w:tcW w:w="1103"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 200 presentations</w:t>
            </w:r>
          </w:p>
        </w:tc>
        <w:tc>
          <w:tcPr>
            <w:tcW w:w="955" w:type="dxa"/>
            <w:tcBorders>
              <w:top w:val="nil"/>
              <w:left w:val="nil"/>
              <w:bottom w:val="single" w:sz="4" w:space="0" w:color="auto"/>
              <w:right w:val="single" w:sz="4" w:space="0" w:color="auto"/>
            </w:tcBorders>
            <w:shd w:val="clear" w:color="000000" w:fill="FFFFFF"/>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232</w:t>
            </w:r>
          </w:p>
        </w:tc>
        <w:tc>
          <w:tcPr>
            <w:tcW w:w="832" w:type="dxa"/>
            <w:tcBorders>
              <w:top w:val="nil"/>
              <w:left w:val="nil"/>
              <w:bottom w:val="single" w:sz="4" w:space="0" w:color="auto"/>
              <w:right w:val="single" w:sz="4" w:space="0" w:color="auto"/>
            </w:tcBorders>
            <w:shd w:val="clear" w:color="000000" w:fill="FFFFFF"/>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16%</w:t>
            </w:r>
          </w:p>
        </w:tc>
        <w:tc>
          <w:tcPr>
            <w:tcW w:w="1437" w:type="dxa"/>
            <w:tcBorders>
              <w:top w:val="nil"/>
              <w:left w:val="nil"/>
              <w:bottom w:val="single" w:sz="4" w:space="0" w:color="auto"/>
              <w:right w:val="single" w:sz="4" w:space="0" w:color="auto"/>
            </w:tcBorders>
            <w:shd w:val="clear" w:color="000000" w:fill="FFFFFF"/>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Forecast exceeded</w:t>
            </w:r>
          </w:p>
        </w:tc>
      </w:tr>
      <w:tr w:rsidR="00A245FF" w:rsidRPr="00A245FF" w:rsidTr="005A5BBE">
        <w:trPr>
          <w:cantSplit/>
        </w:trPr>
        <w:tc>
          <w:tcPr>
            <w:tcW w:w="106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i/>
                <w:iCs/>
                <w:color w:val="000000"/>
                <w:sz w:val="18"/>
                <w:szCs w:val="18"/>
              </w:rPr>
            </w:pPr>
            <w:r w:rsidRPr="00A245FF">
              <w:rPr>
                <w:rFonts w:ascii="Arial Narrow" w:hAnsi="Arial Narrow"/>
                <w:i/>
                <w:iCs/>
                <w:color w:val="000000"/>
                <w:sz w:val="18"/>
                <w:szCs w:val="18"/>
              </w:rPr>
              <w:t>International market development</w:t>
            </w:r>
          </w:p>
        </w:tc>
        <w:tc>
          <w:tcPr>
            <w:tcW w:w="1596" w:type="dxa"/>
            <w:tcBorders>
              <w:top w:val="single" w:sz="4" w:space="0" w:color="000000"/>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Number of New Zealand artists, arts practitioners and arts organisations funded by Creative New Zealand that receive invitations to tour works overseas and the percentage that actually do tour</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New measure</w:t>
            </w:r>
          </w:p>
        </w:tc>
        <w:tc>
          <w:tcPr>
            <w:tcW w:w="1103"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No target set</w:t>
            </w:r>
          </w:p>
        </w:tc>
        <w:tc>
          <w:tcPr>
            <w:tcW w:w="955" w:type="dxa"/>
            <w:tcBorders>
              <w:top w:val="nil"/>
              <w:left w:val="nil"/>
              <w:bottom w:val="single" w:sz="4" w:space="0" w:color="auto"/>
              <w:right w:val="single" w:sz="4" w:space="0" w:color="auto"/>
            </w:tcBorders>
            <w:shd w:val="clear" w:color="000000" w:fill="FFFFFF"/>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22 tours undertaken</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N/A</w:t>
            </w:r>
          </w:p>
        </w:tc>
        <w:tc>
          <w:tcPr>
            <w:tcW w:w="1437" w:type="dxa"/>
            <w:tcBorders>
              <w:top w:val="nil"/>
              <w:left w:val="nil"/>
              <w:bottom w:val="single" w:sz="4" w:space="0" w:color="auto"/>
              <w:right w:val="single" w:sz="4" w:space="0" w:color="auto"/>
            </w:tcBorders>
            <w:shd w:val="clear" w:color="000000" w:fill="FFFFFF"/>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International presentation fund successful applications</w:t>
            </w:r>
          </w:p>
        </w:tc>
      </w:tr>
      <w:tr w:rsidR="00A245FF" w:rsidRPr="00A245FF" w:rsidTr="005A5BBE">
        <w:trPr>
          <w:trHeight w:val="25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i/>
                <w:iCs/>
                <w:color w:val="000000"/>
                <w:sz w:val="18"/>
                <w:szCs w:val="18"/>
              </w:rPr>
            </w:pPr>
            <w:r w:rsidRPr="00A245FF">
              <w:rPr>
                <w:rFonts w:ascii="Arial Narrow" w:hAnsi="Arial Narrow"/>
                <w:i/>
                <w:iCs/>
                <w:color w:val="000000"/>
                <w:sz w:val="18"/>
                <w:szCs w:val="18"/>
              </w:rPr>
              <w:t>Developing potential</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International activity (performances, presentations, exhibitions) over time</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New measure</w:t>
            </w:r>
          </w:p>
        </w:tc>
        <w:tc>
          <w:tcPr>
            <w:tcW w:w="1103"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No target set</w:t>
            </w:r>
          </w:p>
        </w:tc>
        <w:tc>
          <w:tcPr>
            <w:tcW w:w="322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A245FF" w:rsidRPr="00A245FF" w:rsidRDefault="00A92E60" w:rsidP="00DE3684">
            <w:pPr>
              <w:spacing w:before="0"/>
              <w:jc w:val="center"/>
              <w:rPr>
                <w:rFonts w:ascii="Arial Narrow" w:hAnsi="Arial Narrow"/>
                <w:color w:val="000000"/>
                <w:sz w:val="18"/>
                <w:szCs w:val="18"/>
              </w:rPr>
            </w:pPr>
            <w:r>
              <w:rPr>
                <w:rFonts w:ascii="Arial Narrow" w:hAnsi="Arial Narrow"/>
                <w:color w:val="000000"/>
                <w:sz w:val="18"/>
                <w:szCs w:val="18"/>
              </w:rPr>
              <w:t>Refer to Figure 1</w:t>
            </w:r>
            <w:r w:rsidR="00DE3684">
              <w:rPr>
                <w:rFonts w:ascii="Arial Narrow" w:hAnsi="Arial Narrow"/>
                <w:color w:val="000000"/>
                <w:sz w:val="18"/>
                <w:szCs w:val="18"/>
              </w:rPr>
              <w:t>9</w:t>
            </w:r>
            <w:r w:rsidR="00A245FF" w:rsidRPr="00A245FF">
              <w:rPr>
                <w:rFonts w:ascii="Arial Narrow" w:hAnsi="Arial Narrow"/>
                <w:color w:val="000000"/>
                <w:sz w:val="18"/>
                <w:szCs w:val="18"/>
              </w:rPr>
              <w:t xml:space="preserve"> below</w:t>
            </w:r>
          </w:p>
        </w:tc>
      </w:tr>
      <w:tr w:rsidR="00A245FF" w:rsidRPr="00A245FF" w:rsidTr="005A5BBE">
        <w:trPr>
          <w:trHeight w:val="255"/>
        </w:trPr>
        <w:tc>
          <w:tcPr>
            <w:tcW w:w="1062"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A245FF" w:rsidRPr="00A245FF" w:rsidRDefault="00A245FF" w:rsidP="00A245FF">
            <w:pPr>
              <w:spacing w:before="0"/>
              <w:jc w:val="left"/>
              <w:rPr>
                <w:rFonts w:ascii="Arial Narrow" w:hAnsi="Arial Narrow"/>
                <w:b/>
                <w:bCs/>
                <w:color w:val="000000"/>
                <w:sz w:val="18"/>
                <w:szCs w:val="18"/>
              </w:rPr>
            </w:pPr>
            <w:r w:rsidRPr="00A245FF">
              <w:rPr>
                <w:rFonts w:ascii="Arial Narrow" w:hAnsi="Arial Narrow"/>
                <w:b/>
                <w:bCs/>
                <w:color w:val="000000"/>
                <w:sz w:val="18"/>
                <w:szCs w:val="18"/>
              </w:rPr>
              <w:t>Outcome</w:t>
            </w:r>
          </w:p>
        </w:tc>
        <w:tc>
          <w:tcPr>
            <w:tcW w:w="1596" w:type="dxa"/>
            <w:tcBorders>
              <w:top w:val="single" w:sz="4" w:space="0" w:color="auto"/>
              <w:left w:val="nil"/>
              <w:bottom w:val="single" w:sz="4" w:space="0" w:color="auto"/>
              <w:right w:val="nil"/>
            </w:tcBorders>
            <w:shd w:val="clear" w:color="000000" w:fill="DCE6F1"/>
            <w:vAlign w:val="center"/>
            <w:hideMark/>
          </w:tcPr>
          <w:p w:rsidR="00A245FF" w:rsidRPr="00A245FF" w:rsidRDefault="00A245FF" w:rsidP="00A245FF">
            <w:pPr>
              <w:spacing w:before="0"/>
              <w:jc w:val="center"/>
              <w:rPr>
                <w:rFonts w:ascii="Arial Narrow" w:hAnsi="Arial Narrow"/>
                <w:b/>
                <w:bCs/>
                <w:color w:val="000000"/>
                <w:sz w:val="18"/>
                <w:szCs w:val="18"/>
              </w:rPr>
            </w:pPr>
            <w:r w:rsidRPr="00A245FF">
              <w:rPr>
                <w:rFonts w:ascii="Arial Narrow" w:hAnsi="Arial Narrow"/>
                <w:b/>
                <w:bCs/>
                <w:color w:val="000000"/>
                <w:sz w:val="18"/>
                <w:szCs w:val="18"/>
              </w:rPr>
              <w:t>Measure</w:t>
            </w:r>
          </w:p>
        </w:tc>
        <w:tc>
          <w:tcPr>
            <w:tcW w:w="920" w:type="dxa"/>
            <w:tcBorders>
              <w:top w:val="nil"/>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20" w:type="dxa"/>
            <w:tcBorders>
              <w:top w:val="nil"/>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20" w:type="dxa"/>
            <w:tcBorders>
              <w:top w:val="nil"/>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1103" w:type="dxa"/>
            <w:tcBorders>
              <w:top w:val="nil"/>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955" w:type="dxa"/>
            <w:tcBorders>
              <w:top w:val="nil"/>
              <w:left w:val="nil"/>
              <w:bottom w:val="nil"/>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832" w:type="dxa"/>
            <w:tcBorders>
              <w:top w:val="nil"/>
              <w:left w:val="nil"/>
              <w:bottom w:val="single" w:sz="4" w:space="0" w:color="auto"/>
              <w:right w:val="nil"/>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c>
          <w:tcPr>
            <w:tcW w:w="1437" w:type="dxa"/>
            <w:tcBorders>
              <w:top w:val="nil"/>
              <w:left w:val="nil"/>
              <w:bottom w:val="single" w:sz="4" w:space="0" w:color="auto"/>
              <w:right w:val="single" w:sz="4" w:space="0" w:color="auto"/>
            </w:tcBorders>
            <w:shd w:val="clear" w:color="000000" w:fill="DCE6F1"/>
            <w:noWrap/>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 </w:t>
            </w:r>
          </w:p>
        </w:tc>
      </w:tr>
      <w:tr w:rsidR="00A245FF" w:rsidRPr="00A245FF" w:rsidTr="00A245FF">
        <w:trPr>
          <w:cantSplit/>
        </w:trPr>
        <w:tc>
          <w:tcPr>
            <w:tcW w:w="1062" w:type="dxa"/>
            <w:tcBorders>
              <w:top w:val="nil"/>
              <w:left w:val="single" w:sz="4" w:space="0" w:color="auto"/>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i/>
                <w:iCs/>
                <w:sz w:val="18"/>
                <w:szCs w:val="18"/>
              </w:rPr>
            </w:pPr>
            <w:r w:rsidRPr="00A245FF">
              <w:rPr>
                <w:rFonts w:ascii="Arial Narrow" w:hAnsi="Arial Narrow"/>
                <w:i/>
                <w:iCs/>
                <w:sz w:val="18"/>
                <w:szCs w:val="18"/>
              </w:rPr>
              <w:t>New Zealand arts gain international success</w:t>
            </w:r>
          </w:p>
        </w:tc>
        <w:tc>
          <w:tcPr>
            <w:tcW w:w="1596"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Sample of works/projects supported by Creative New Zealand in the previous two years that have produced subsequent repeat international invitations</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New measure</w:t>
            </w:r>
          </w:p>
        </w:tc>
        <w:tc>
          <w:tcPr>
            <w:tcW w:w="1103" w:type="dxa"/>
            <w:tcBorders>
              <w:top w:val="nil"/>
              <w:left w:val="nil"/>
              <w:bottom w:val="single" w:sz="4" w:space="0" w:color="auto"/>
              <w:right w:val="single" w:sz="4" w:space="0" w:color="auto"/>
            </w:tcBorders>
            <w:shd w:val="clear" w:color="auto" w:fill="auto"/>
            <w:vAlign w:val="center"/>
            <w:hideMark/>
          </w:tcPr>
          <w:p w:rsidR="00A245FF" w:rsidRPr="00A245FF" w:rsidRDefault="00A245FF" w:rsidP="00A245FF">
            <w:pPr>
              <w:spacing w:before="0"/>
              <w:jc w:val="left"/>
              <w:rPr>
                <w:rFonts w:ascii="Arial Narrow" w:hAnsi="Arial Narrow"/>
                <w:color w:val="000000"/>
                <w:sz w:val="18"/>
                <w:szCs w:val="18"/>
              </w:rPr>
            </w:pPr>
            <w:r w:rsidRPr="00A245FF">
              <w:rPr>
                <w:rFonts w:ascii="Arial Narrow" w:hAnsi="Arial Narrow"/>
                <w:color w:val="000000"/>
                <w:sz w:val="18"/>
                <w:szCs w:val="18"/>
              </w:rPr>
              <w:t>Case studies reported</w:t>
            </w:r>
          </w:p>
        </w:tc>
        <w:tc>
          <w:tcPr>
            <w:tcW w:w="3224" w:type="dxa"/>
            <w:gridSpan w:val="3"/>
            <w:tcBorders>
              <w:top w:val="single" w:sz="4" w:space="0" w:color="auto"/>
              <w:left w:val="nil"/>
              <w:bottom w:val="single" w:sz="4" w:space="0" w:color="auto"/>
              <w:right w:val="single" w:sz="4" w:space="0" w:color="000000"/>
            </w:tcBorders>
            <w:shd w:val="clear" w:color="auto" w:fill="auto"/>
            <w:vAlign w:val="center"/>
            <w:hideMark/>
          </w:tcPr>
          <w:p w:rsidR="00A245FF" w:rsidRPr="00A245FF" w:rsidRDefault="00A245FF" w:rsidP="00A245FF">
            <w:pPr>
              <w:spacing w:before="0"/>
              <w:jc w:val="center"/>
              <w:rPr>
                <w:rFonts w:ascii="Arial Narrow" w:hAnsi="Arial Narrow"/>
                <w:color w:val="000000"/>
                <w:sz w:val="18"/>
                <w:szCs w:val="18"/>
              </w:rPr>
            </w:pPr>
            <w:r w:rsidRPr="00A245FF">
              <w:rPr>
                <w:rFonts w:ascii="Arial Narrow" w:hAnsi="Arial Narrow"/>
                <w:color w:val="000000"/>
                <w:sz w:val="18"/>
                <w:szCs w:val="18"/>
              </w:rPr>
              <w:t>Case studies detailed below</w:t>
            </w:r>
          </w:p>
        </w:tc>
      </w:tr>
    </w:tbl>
    <w:p w:rsidR="00335D45" w:rsidRPr="006552E9" w:rsidRDefault="00335D45" w:rsidP="00335D45">
      <w:pPr>
        <w:pStyle w:val="Tabletext"/>
      </w:pPr>
    </w:p>
    <w:p w:rsidR="00D82D60" w:rsidRDefault="005D6E4A" w:rsidP="00D82D60">
      <w:pPr>
        <w:pStyle w:val="Tabletext"/>
      </w:pPr>
      <w:r>
        <w:pict>
          <v:shape id="_x0000_i1035" type="#_x0000_t75" alt="Stacked bar chart showing the number of organisations or projects and the dollars investedin activities outside of New Zealand over three years.&#10;&#10;The number of projects/organisations has varied between about 130 and 145 but the funding has increased from $2.5 million in 2010/11 to $4.2 million in 2011/12 and $3.8 million in 2012/13, largely because of the impact of the 2012 Frankfurt Bookfair and the Festival of Pacific Arts." style="width:303.05pt;height:225.4pt">
            <v:imagedata r:id="rId37" o:title=""/>
          </v:shape>
        </w:pict>
      </w:r>
    </w:p>
    <w:p w:rsidR="00BA3CEA" w:rsidRDefault="00D82D60" w:rsidP="00D82D60">
      <w:pPr>
        <w:pStyle w:val="Caption"/>
        <w:jc w:val="both"/>
      </w:pPr>
      <w:r>
        <w:t xml:space="preserve">Figure </w:t>
      </w:r>
      <w:fldSimple w:instr=" SEQ Figure \* ARABIC ">
        <w:r w:rsidR="002F6A04">
          <w:rPr>
            <w:noProof/>
          </w:rPr>
          <w:t>19</w:t>
        </w:r>
      </w:fldSimple>
      <w:r>
        <w:t xml:space="preserve">: </w:t>
      </w:r>
      <w:r w:rsidR="00286BC4">
        <w:t>Amounts invested and number of organisations or projects funded by Creative New Zealand outside New Zealand</w:t>
      </w:r>
      <w:r>
        <w:t>, 2010/11 to 2012/13</w:t>
      </w:r>
    </w:p>
    <w:p w:rsidR="003027E3" w:rsidRPr="006552E9" w:rsidRDefault="00335D45" w:rsidP="00335D45">
      <w:pPr>
        <w:pStyle w:val="Heading4"/>
      </w:pPr>
      <w:r w:rsidRPr="006552E9">
        <w:t>Case studies</w:t>
      </w:r>
    </w:p>
    <w:p w:rsidR="00CA143E" w:rsidRPr="006552E9" w:rsidRDefault="00CA143E" w:rsidP="0022788A">
      <w:pPr>
        <w:pStyle w:val="Bullet"/>
        <w:ind w:left="510" w:hanging="510"/>
      </w:pPr>
      <w:r w:rsidRPr="005A5BBE">
        <w:rPr>
          <w:b/>
        </w:rPr>
        <w:t>Jumpboard Production</w:t>
      </w:r>
      <w:r w:rsidRPr="007F1E87">
        <w:t>’</w:t>
      </w:r>
      <w:r w:rsidRPr="007F1E87">
        <w:rPr>
          <w:iCs/>
        </w:rPr>
        <w:t>s</w:t>
      </w:r>
      <w:r w:rsidRPr="006552E9">
        <w:rPr>
          <w:i/>
          <w:iCs/>
        </w:rPr>
        <w:t xml:space="preserve"> Live Live Cinema: Carnival of Souls</w:t>
      </w:r>
      <w:r w:rsidRPr="006552E9">
        <w:t xml:space="preserve"> was performed in Frankfurt as part of New Zealand’s Guest of Honour programme at the Frankfurt Book Fair in 2012. The ‘presenters to view’ initiative supported </w:t>
      </w:r>
      <w:r w:rsidR="00286BC4">
        <w:t xml:space="preserve">the </w:t>
      </w:r>
      <w:r w:rsidRPr="006552E9">
        <w:t>airfares and accommodation of invited U</w:t>
      </w:r>
      <w:r w:rsidR="00C40879" w:rsidRPr="006552E9">
        <w:t xml:space="preserve">nited </w:t>
      </w:r>
      <w:r w:rsidRPr="006552E9">
        <w:t>K</w:t>
      </w:r>
      <w:r w:rsidR="00C40879" w:rsidRPr="006552E9">
        <w:t>ingdom</w:t>
      </w:r>
      <w:r w:rsidRPr="006552E9">
        <w:t xml:space="preserve"> presenters to view this work which was presented at </w:t>
      </w:r>
      <w:r w:rsidR="00C40879" w:rsidRPr="006552E9">
        <w:t xml:space="preserve">the </w:t>
      </w:r>
      <w:r w:rsidRPr="006552E9">
        <w:t>English Theatre in Frankfurt. Subsequently</w:t>
      </w:r>
      <w:r w:rsidR="00C40879" w:rsidRPr="006552E9">
        <w:t>,</w:t>
      </w:r>
      <w:r w:rsidRPr="006552E9">
        <w:t xml:space="preserve"> Jumpboard Productions received an invitation from Bryn Ormrod, creative producer at The Barbican</w:t>
      </w:r>
      <w:r w:rsidR="00C40879" w:rsidRPr="006552E9">
        <w:t>,</w:t>
      </w:r>
      <w:r w:rsidRPr="006552E9">
        <w:t xml:space="preserve"> to perform at The Barbican in London </w:t>
      </w:r>
      <w:r w:rsidR="00286BC4">
        <w:t xml:space="preserve">during </w:t>
      </w:r>
      <w:r w:rsidRPr="006552E9">
        <w:t>October 2013.</w:t>
      </w:r>
    </w:p>
    <w:p w:rsidR="00335D45" w:rsidRPr="006552E9" w:rsidRDefault="00335D45" w:rsidP="00335D45">
      <w:pPr>
        <w:pStyle w:val="Bullet"/>
      </w:pPr>
      <w:r w:rsidRPr="006552E9">
        <w:rPr>
          <w:b/>
          <w:bCs/>
        </w:rPr>
        <w:t>Iva Lamkum</w:t>
      </w:r>
      <w:r w:rsidRPr="006552E9">
        <w:t xml:space="preserve"> was a showcasing artist supported by Creative New Zealand at the Australasian World Music Expo in Melbourne, 2012.</w:t>
      </w:r>
      <w:r w:rsidR="00175E6D" w:rsidRPr="006552E9">
        <w:t xml:space="preserve"> </w:t>
      </w:r>
      <w:r w:rsidRPr="006552E9">
        <w:t xml:space="preserve">From her showcase performance, she received several invitations from notable music festivals such as the Sziget Festival, Hungry; Glastonbury </w:t>
      </w:r>
      <w:r w:rsidR="00286BC4" w:rsidRPr="006552E9">
        <w:t>Festival</w:t>
      </w:r>
      <w:r w:rsidRPr="006552E9">
        <w:t>, U</w:t>
      </w:r>
      <w:r w:rsidR="00E0250E" w:rsidRPr="006552E9">
        <w:t xml:space="preserve">nited </w:t>
      </w:r>
      <w:r w:rsidRPr="006552E9">
        <w:t>K</w:t>
      </w:r>
      <w:r w:rsidR="00E0250E" w:rsidRPr="006552E9">
        <w:t>ingdom</w:t>
      </w:r>
      <w:r w:rsidRPr="006552E9">
        <w:t xml:space="preserve">; and Riddu Riddu in Norway – which resulted in a very successful European tour for Iva Lamkum and her band in 2013. </w:t>
      </w:r>
    </w:p>
    <w:p w:rsidR="00335D45" w:rsidRPr="006552E9" w:rsidRDefault="00335D45" w:rsidP="00335D45">
      <w:pPr>
        <w:pStyle w:val="Bullet"/>
      </w:pPr>
      <w:r w:rsidRPr="006552E9">
        <w:rPr>
          <w:b/>
          <w:bCs/>
        </w:rPr>
        <w:t>Atamira</w:t>
      </w:r>
      <w:r w:rsidRPr="006552E9">
        <w:t xml:space="preserve"> has recently toured </w:t>
      </w:r>
      <w:r w:rsidRPr="006552E9">
        <w:rPr>
          <w:i/>
          <w:iCs/>
        </w:rPr>
        <w:t>Kaha</w:t>
      </w:r>
      <w:r w:rsidRPr="006552E9">
        <w:t xml:space="preserve"> in Hawaii and the United states including </w:t>
      </w:r>
      <w:r w:rsidR="007F1E87">
        <w:t xml:space="preserve">the </w:t>
      </w:r>
      <w:r w:rsidRPr="006552E9">
        <w:t>Maui Arts and Cultural Centre, New York’s Jacob’s Pillow and the San Francisco International Arts Festival. The invitation and confirmation of venues for this tour was a result of U</w:t>
      </w:r>
      <w:r w:rsidR="00E0250E" w:rsidRPr="006552E9">
        <w:t xml:space="preserve">nited </w:t>
      </w:r>
      <w:r w:rsidRPr="006552E9">
        <w:t>S</w:t>
      </w:r>
      <w:r w:rsidR="00E0250E" w:rsidRPr="006552E9">
        <w:t>tates</w:t>
      </w:r>
      <w:r w:rsidRPr="006552E9">
        <w:t xml:space="preserve"> </w:t>
      </w:r>
      <w:r w:rsidR="00E0250E" w:rsidRPr="006552E9">
        <w:t xml:space="preserve">agent </w:t>
      </w:r>
      <w:r w:rsidRPr="006552E9">
        <w:t xml:space="preserve">Karen Fisher’s attendance in the Te Manu Ka Tau programme </w:t>
      </w:r>
      <w:r w:rsidR="00E0250E" w:rsidRPr="006552E9">
        <w:t xml:space="preserve">in </w:t>
      </w:r>
      <w:r w:rsidRPr="006552E9">
        <w:t xml:space="preserve">2012 and 2013. </w:t>
      </w:r>
    </w:p>
    <w:p w:rsidR="00335D45" w:rsidRPr="006552E9" w:rsidRDefault="00335D45" w:rsidP="00335D45">
      <w:pPr>
        <w:pStyle w:val="Bullet"/>
      </w:pPr>
      <w:r w:rsidRPr="006552E9">
        <w:t xml:space="preserve">The international tour of </w:t>
      </w:r>
      <w:r w:rsidRPr="006552E9">
        <w:rPr>
          <w:i/>
          <w:iCs/>
        </w:rPr>
        <w:t>Masi</w:t>
      </w:r>
      <w:r w:rsidRPr="006552E9">
        <w:t xml:space="preserve"> to perform at the Oceania Cen</w:t>
      </w:r>
      <w:r w:rsidR="00E0250E" w:rsidRPr="006552E9">
        <w:t xml:space="preserve">tre in </w:t>
      </w:r>
      <w:r w:rsidRPr="006552E9">
        <w:t xml:space="preserve">Suva, Fiji and in the Sydney International Arts Festival </w:t>
      </w:r>
      <w:r w:rsidR="007F1E87">
        <w:t xml:space="preserve">in </w:t>
      </w:r>
      <w:r w:rsidRPr="006552E9">
        <w:t xml:space="preserve">January 2013 resulted from the debut performance of </w:t>
      </w:r>
      <w:r w:rsidRPr="006552E9">
        <w:rPr>
          <w:i/>
          <w:iCs/>
        </w:rPr>
        <w:t>Masi</w:t>
      </w:r>
      <w:r w:rsidRPr="006552E9">
        <w:t xml:space="preserve"> by </w:t>
      </w:r>
      <w:r w:rsidRPr="006552E9">
        <w:rPr>
          <w:b/>
          <w:bCs/>
        </w:rPr>
        <w:t xml:space="preserve">The Conch </w:t>
      </w:r>
      <w:r w:rsidRPr="006552E9">
        <w:t xml:space="preserve">at the International Arts Festival, Wellington 2012 and Creative New Zealand’s Te Manu Ka Tau programme. </w:t>
      </w:r>
    </w:p>
    <w:p w:rsidR="00335D45" w:rsidRPr="006552E9" w:rsidRDefault="00335D45" w:rsidP="00335D45">
      <w:pPr>
        <w:pStyle w:val="Bullet"/>
      </w:pPr>
      <w:r w:rsidRPr="006552E9">
        <w:rPr>
          <w:b/>
          <w:bCs/>
        </w:rPr>
        <w:t>Royale Production’s</w:t>
      </w:r>
      <w:r w:rsidRPr="006552E9">
        <w:t xml:space="preserve"> </w:t>
      </w:r>
      <w:r w:rsidRPr="006552E9">
        <w:rPr>
          <w:i/>
          <w:iCs/>
        </w:rPr>
        <w:t>No Holds Bard</w:t>
      </w:r>
      <w:r w:rsidRPr="006552E9">
        <w:t xml:space="preserve"> was invited to perform</w:t>
      </w:r>
      <w:r w:rsidR="00E0250E" w:rsidRPr="006552E9">
        <w:t xml:space="preserve"> at</w:t>
      </w:r>
      <w:r w:rsidRPr="006552E9">
        <w:t xml:space="preserve"> the 2013 Edinburgh Fringe Festival. The invitation for this performance </w:t>
      </w:r>
      <w:r w:rsidR="007F1E87">
        <w:t>was</w:t>
      </w:r>
      <w:r w:rsidRPr="006552E9">
        <w:rPr>
          <w:shd w:val="clear" w:color="auto" w:fill="FFFFFF"/>
        </w:rPr>
        <w:t xml:space="preserve"> a result of </w:t>
      </w:r>
      <w:r w:rsidR="00EC08EB" w:rsidRPr="006552E9">
        <w:rPr>
          <w:shd w:val="clear" w:color="auto" w:fill="FFFFFF"/>
        </w:rPr>
        <w:t xml:space="preserve">a visit by </w:t>
      </w:r>
      <w:r w:rsidRPr="006552E9">
        <w:rPr>
          <w:shd w:val="clear" w:color="auto" w:fill="FFFFFF"/>
        </w:rPr>
        <w:t xml:space="preserve">William Burdett Coutts </w:t>
      </w:r>
      <w:r w:rsidR="00EC08EB" w:rsidRPr="006552E9">
        <w:rPr>
          <w:shd w:val="clear" w:color="auto" w:fill="FFFFFF"/>
        </w:rPr>
        <w:t>and</w:t>
      </w:r>
      <w:r w:rsidRPr="006552E9">
        <w:rPr>
          <w:shd w:val="clear" w:color="auto" w:fill="FFFFFF"/>
        </w:rPr>
        <w:t xml:space="preserve"> Kim Acland to New Zealand as part of Te Manu Ka Tau programme</w:t>
      </w:r>
      <w:r w:rsidR="00E0250E" w:rsidRPr="006552E9">
        <w:rPr>
          <w:shd w:val="clear" w:color="auto" w:fill="FFFFFF"/>
        </w:rPr>
        <w:t xml:space="preserve"> in 2012 and 2013.</w:t>
      </w:r>
      <w:r w:rsidR="00175E6D" w:rsidRPr="006552E9">
        <w:rPr>
          <w:shd w:val="clear" w:color="auto" w:fill="FFFFFF"/>
        </w:rPr>
        <w:t xml:space="preserve"> </w:t>
      </w:r>
      <w:r w:rsidRPr="006552E9">
        <w:rPr>
          <w:shd w:val="clear" w:color="auto" w:fill="FFFFFF"/>
        </w:rPr>
        <w:t xml:space="preserve">The invitation </w:t>
      </w:r>
      <w:r w:rsidR="007F1E87">
        <w:rPr>
          <w:shd w:val="clear" w:color="auto" w:fill="FFFFFF"/>
        </w:rPr>
        <w:t>was</w:t>
      </w:r>
      <w:r w:rsidRPr="006552E9">
        <w:rPr>
          <w:shd w:val="clear" w:color="auto" w:fill="FFFFFF"/>
        </w:rPr>
        <w:t xml:space="preserve"> for a season at the Roxy Downstairs venue at the Assembly in Scotland. </w:t>
      </w:r>
    </w:p>
    <w:p w:rsidR="00E0250E" w:rsidRPr="006552E9" w:rsidRDefault="00335D45" w:rsidP="003027E3">
      <w:pPr>
        <w:pStyle w:val="Bullet"/>
      </w:pPr>
      <w:r w:rsidRPr="006552E9">
        <w:rPr>
          <w:b/>
          <w:bCs/>
        </w:rPr>
        <w:t>Douglas Wright’s</w:t>
      </w:r>
      <w:r w:rsidRPr="006552E9">
        <w:t xml:space="preserve"> </w:t>
      </w:r>
      <w:r w:rsidRPr="006552E9">
        <w:rPr>
          <w:i/>
          <w:iCs/>
        </w:rPr>
        <w:t xml:space="preserve">Rapt </w:t>
      </w:r>
      <w:r w:rsidRPr="007F1E87">
        <w:rPr>
          <w:iCs/>
        </w:rPr>
        <w:t xml:space="preserve">was </w:t>
      </w:r>
      <w:r w:rsidRPr="007F1E87">
        <w:t>i</w:t>
      </w:r>
      <w:r w:rsidRPr="006552E9">
        <w:t xml:space="preserve">nvited by Holland Dance Festival’s Artistic Director Samuel Weursten to perform </w:t>
      </w:r>
      <w:r w:rsidR="007F1E87">
        <w:t xml:space="preserve">at </w:t>
      </w:r>
      <w:r w:rsidRPr="006552E9">
        <w:t>Holland Dance in April 2012</w:t>
      </w:r>
      <w:r w:rsidR="00E0250E" w:rsidRPr="006552E9">
        <w:t>,</w:t>
      </w:r>
      <w:r w:rsidRPr="006552E9">
        <w:t xml:space="preserve"> one of the most prestigious world contemporary dance festivals. The invitation came from initial discussions with Phil Evans and Samuel Weursten at the Australian Performing Arts Market in 2012 and then Samuel’s subsequent visit to New Zealand as part of Creative New Zealand’s Te Manu Ka Tau programme.</w:t>
      </w:r>
      <w:r w:rsidR="00175E6D" w:rsidRPr="006552E9">
        <w:t xml:space="preserve"> </w:t>
      </w:r>
    </w:p>
    <w:p w:rsidR="003027E3" w:rsidRPr="006552E9" w:rsidRDefault="003027E3" w:rsidP="00587148">
      <w:pPr>
        <w:pStyle w:val="Heading2"/>
      </w:pPr>
      <w:r w:rsidRPr="006552E9">
        <w:br w:type="page"/>
      </w:r>
      <w:bookmarkStart w:id="49" w:name="_Toc373415027"/>
      <w:r w:rsidRPr="006552E9">
        <w:t>Managing</w:t>
      </w:r>
      <w:r w:rsidRPr="006552E9">
        <w:rPr>
          <w:color w:val="0000FF"/>
        </w:rPr>
        <w:t xml:space="preserve"> </w:t>
      </w:r>
      <w:r w:rsidRPr="006552E9">
        <w:t>organisational health</w:t>
      </w:r>
      <w:bookmarkEnd w:id="49"/>
      <w:r w:rsidRPr="006552E9">
        <w:rPr>
          <w:i/>
        </w:rPr>
        <w:t xml:space="preserve"> </w:t>
      </w:r>
    </w:p>
    <w:p w:rsidR="003027E3" w:rsidRPr="006552E9" w:rsidRDefault="003027E3" w:rsidP="003027E3">
      <w:r w:rsidRPr="006552E9">
        <w:t>We recognise that our organisational culture and our people, systems, processes, decision making and relationships are critical to us achieving our outcomes.</w:t>
      </w:r>
      <w:r w:rsidR="00175E6D" w:rsidRPr="006552E9">
        <w:t xml:space="preserve"> </w:t>
      </w:r>
    </w:p>
    <w:p w:rsidR="003027E3" w:rsidRPr="006552E9" w:rsidRDefault="003027E3" w:rsidP="003027E3">
      <w:r w:rsidRPr="006552E9">
        <w:t>To help us focus on each aspect of our organisational health we have defined six headings under which activity can be grouped and performance measured.</w:t>
      </w:r>
    </w:p>
    <w:p w:rsidR="003027E3" w:rsidRPr="006552E9" w:rsidRDefault="003027E3" w:rsidP="003027E3">
      <w:pPr>
        <w:pStyle w:val="Heading3"/>
      </w:pPr>
      <w:bookmarkStart w:id="50" w:name="_Toc339551222"/>
      <w:bookmarkStart w:id="51" w:name="_Toc373415028"/>
      <w:r w:rsidRPr="006552E9">
        <w:t>Organisational culture</w:t>
      </w:r>
      <w:bookmarkEnd w:id="50"/>
      <w:bookmarkEnd w:id="51"/>
      <w:r w:rsidRPr="006552E9">
        <w:t xml:space="preserve"> </w:t>
      </w:r>
    </w:p>
    <w:p w:rsidR="003027E3" w:rsidRPr="006552E9" w:rsidRDefault="003027E3" w:rsidP="00F81CFA">
      <w:r w:rsidRPr="006552E9">
        <w:t>Since 2008, we have participated in the annual Best Workplaces survey and used the results to help us identify ways in which we can improve.</w:t>
      </w:r>
      <w:r w:rsidR="00175E6D" w:rsidRPr="006552E9">
        <w:t xml:space="preserve"> </w:t>
      </w:r>
      <w:r w:rsidRPr="006552E9">
        <w:t xml:space="preserve">This year we ran the survey (renamed the Engagement survey) in conjunction with the Ministry for Culture and Heritage and </w:t>
      </w:r>
      <w:r w:rsidR="007F1E87">
        <w:t>several</w:t>
      </w:r>
      <w:r w:rsidRPr="006552E9">
        <w:t xml:space="preserve"> agencies in the cultural sector.</w:t>
      </w:r>
      <w:r w:rsidR="00175E6D" w:rsidRPr="006552E9">
        <w:t xml:space="preserve"> </w:t>
      </w:r>
      <w:r w:rsidRPr="006552E9">
        <w:t>Our key results for the f</w:t>
      </w:r>
      <w:r w:rsidR="00587148" w:rsidRPr="006552E9">
        <w:t>our</w:t>
      </w:r>
      <w:r w:rsidRPr="006552E9">
        <w:t xml:space="preserve"> years 20</w:t>
      </w:r>
      <w:r w:rsidR="00587148" w:rsidRPr="006552E9">
        <w:t>10</w:t>
      </w:r>
      <w:r w:rsidRPr="006552E9">
        <w:t xml:space="preserve"> </w:t>
      </w:r>
      <w:r w:rsidR="007F1E87">
        <w:t>to</w:t>
      </w:r>
      <w:r w:rsidRPr="006552E9">
        <w:t xml:space="preserve"> 2013 are shown in </w:t>
      </w:r>
      <w:r w:rsidR="007F1E87" w:rsidRPr="006552E9">
        <w:t xml:space="preserve">Figure </w:t>
      </w:r>
      <w:r w:rsidR="00DE3684">
        <w:t>20</w:t>
      </w:r>
      <w:r w:rsidRPr="006552E9">
        <w:t>.</w:t>
      </w:r>
      <w:r w:rsidR="00175E6D" w:rsidRPr="006552E9">
        <w:t xml:space="preserve"> </w:t>
      </w:r>
    </w:p>
    <w:p w:rsidR="00587148" w:rsidRPr="006552E9" w:rsidRDefault="005D6E4A" w:rsidP="00F81CFA">
      <w:bookmarkStart w:id="52" w:name="_Toc339284246"/>
      <w:r>
        <w:pict>
          <v:shape id="_x0000_i1036" type="#_x0000_t75" alt="Bar chart showing the changes in results for key measures in the Engagement Survey.&#10;Measures increased from 2010 to 2012 but declined by and average of 7 percent in 2013." style="width:274.25pt;height:186.55pt">
            <v:imagedata r:id="rId38" o:title=""/>
          </v:shape>
        </w:pict>
      </w:r>
    </w:p>
    <w:p w:rsidR="003027E3" w:rsidRPr="006552E9" w:rsidRDefault="003027E3" w:rsidP="00F81CFA">
      <w:pPr>
        <w:pStyle w:val="Caption"/>
      </w:pPr>
      <w:r w:rsidRPr="006552E9">
        <w:rPr>
          <w:color w:val="4F81BD" w:themeColor="accent1"/>
        </w:rPr>
        <w:t xml:space="preserve">Figure </w:t>
      </w:r>
      <w:r w:rsidR="006E1B57" w:rsidRPr="006552E9">
        <w:rPr>
          <w:color w:val="4F81BD" w:themeColor="accent1"/>
        </w:rPr>
        <w:fldChar w:fldCharType="begin"/>
      </w:r>
      <w:r w:rsidRPr="006552E9">
        <w:rPr>
          <w:color w:val="4F81BD" w:themeColor="accent1"/>
        </w:rPr>
        <w:instrText xml:space="preserve"> SEQ Figure \* ARABIC </w:instrText>
      </w:r>
      <w:r w:rsidR="006E1B57" w:rsidRPr="006552E9">
        <w:rPr>
          <w:color w:val="4F81BD" w:themeColor="accent1"/>
        </w:rPr>
        <w:fldChar w:fldCharType="separate"/>
      </w:r>
      <w:r w:rsidR="002F6A04">
        <w:rPr>
          <w:noProof/>
          <w:color w:val="4F81BD" w:themeColor="accent1"/>
        </w:rPr>
        <w:t>20</w:t>
      </w:r>
      <w:r w:rsidR="006E1B57" w:rsidRPr="006552E9">
        <w:rPr>
          <w:color w:val="4F81BD" w:themeColor="accent1"/>
        </w:rPr>
        <w:fldChar w:fldCharType="end"/>
      </w:r>
      <w:r w:rsidRPr="006552E9">
        <w:rPr>
          <w:color w:val="4F81BD" w:themeColor="accent1"/>
        </w:rPr>
        <w:t xml:space="preserve">: </w:t>
      </w:r>
      <w:r w:rsidRPr="006552E9">
        <w:t xml:space="preserve">Key results from Creative New Zealand </w:t>
      </w:r>
      <w:r w:rsidR="00862D7F">
        <w:t xml:space="preserve">Best </w:t>
      </w:r>
      <w:r w:rsidRPr="006552E9">
        <w:t>Workplaces/Engagement Survey, 20</w:t>
      </w:r>
      <w:r w:rsidR="00587148" w:rsidRPr="006552E9">
        <w:t>10</w:t>
      </w:r>
      <w:r w:rsidRPr="006552E9">
        <w:t xml:space="preserve"> to 201</w:t>
      </w:r>
      <w:bookmarkEnd w:id="52"/>
      <w:r w:rsidRPr="006552E9">
        <w:t>3</w:t>
      </w:r>
    </w:p>
    <w:p w:rsidR="003027E3" w:rsidRPr="006552E9" w:rsidRDefault="003027E3" w:rsidP="00F81CFA">
      <w:r w:rsidRPr="006552E9">
        <w:t>For the 2013 survey, we had a response rate of 94.3 percent</w:t>
      </w:r>
      <w:r w:rsidR="00862D7F">
        <w:t>,</w:t>
      </w:r>
      <w:r w:rsidRPr="006552E9">
        <w:t xml:space="preserve"> which is slightly down on the 100</w:t>
      </w:r>
      <w:r w:rsidR="00862D7F">
        <w:t xml:space="preserve"> percent</w:t>
      </w:r>
      <w:r w:rsidRPr="006552E9">
        <w:t xml:space="preserve"> response rate achieved in the previous three years.</w:t>
      </w:r>
      <w:r w:rsidR="00175E6D" w:rsidRPr="006552E9">
        <w:t xml:space="preserve"> </w:t>
      </w:r>
      <w:r w:rsidRPr="006552E9">
        <w:t xml:space="preserve">Our results show we have proportionally more engaged staff and fewer disengaged staff compared </w:t>
      </w:r>
      <w:r w:rsidR="00862D7F">
        <w:t>with</w:t>
      </w:r>
      <w:r w:rsidRPr="006552E9">
        <w:t xml:space="preserve"> the State Service Benchmark which comprises the 34 state sector organisations that participated in the survey between April 2011 </w:t>
      </w:r>
      <w:r w:rsidR="00862D7F">
        <w:t>and</w:t>
      </w:r>
      <w:r w:rsidRPr="006552E9">
        <w:t xml:space="preserve"> 2013.</w:t>
      </w:r>
      <w:r w:rsidR="00175E6D" w:rsidRPr="006552E9">
        <w:t xml:space="preserve"> </w:t>
      </w:r>
    </w:p>
    <w:p w:rsidR="003027E3" w:rsidRPr="006552E9" w:rsidRDefault="003027E3" w:rsidP="00F81CFA">
      <w:r w:rsidRPr="006552E9">
        <w:t>The benchmark results for the seven other cultural sector agencies participating in the survey show we have proportionally more engaged and disengaged staff and that we have higher ‘weighted mean scores’ for the overall performance, wellbeing and perceptions indices.</w:t>
      </w:r>
      <w:r w:rsidR="00175E6D" w:rsidRPr="006552E9">
        <w:t xml:space="preserve"> </w:t>
      </w:r>
    </w:p>
    <w:p w:rsidR="003027E3" w:rsidRPr="006552E9" w:rsidRDefault="003027E3" w:rsidP="003027E3">
      <w:pPr>
        <w:pStyle w:val="Heading3"/>
      </w:pPr>
      <w:bookmarkStart w:id="53" w:name="_Toc339551223"/>
      <w:bookmarkStart w:id="54" w:name="_Toc373415029"/>
      <w:r w:rsidRPr="006552E9">
        <w:t>People</w:t>
      </w:r>
      <w:bookmarkEnd w:id="53"/>
      <w:bookmarkEnd w:id="54"/>
    </w:p>
    <w:p w:rsidR="003027E3" w:rsidRPr="006552E9" w:rsidRDefault="003027E3" w:rsidP="00F81CFA">
      <w:r w:rsidRPr="006552E9">
        <w:t xml:space="preserve">The voluntary turnover rate for the year to 30 June 2013 was 7.5 percent (see </w:t>
      </w:r>
      <w:r w:rsidR="00862D7F" w:rsidRPr="006552E9">
        <w:t xml:space="preserve">Figure </w:t>
      </w:r>
      <w:r w:rsidR="00862D7F">
        <w:t>2</w:t>
      </w:r>
      <w:r w:rsidR="00DE3684">
        <w:t>1</w:t>
      </w:r>
      <w:r w:rsidRPr="006552E9">
        <w:t>).</w:t>
      </w:r>
    </w:p>
    <w:p w:rsidR="003027E3" w:rsidRPr="006552E9" w:rsidRDefault="005D6E4A" w:rsidP="003027E3">
      <w:pPr>
        <w:keepNext/>
        <w:ind w:left="511"/>
      </w:pPr>
      <w:r>
        <w:pict>
          <v:shape id="_x0000_i1037" type="#_x0000_t75" alt="Bar chart showing the number of staff, the number of resignations and the percentage of staff turnover for the last four years.&#10;&#10;Staff numbers have been stable at around 53, but resignations peaked in 2011/12 at 11 (20 percent) dropping back to 4 (8 percent) in 2012/13." style="width:271.7pt;height:182.2pt;mso-position-horizontal:absolute">
            <v:imagedata r:id="rId39" o:title=""/>
          </v:shape>
        </w:pict>
      </w:r>
    </w:p>
    <w:p w:rsidR="003027E3" w:rsidRPr="006552E9" w:rsidRDefault="003027E3" w:rsidP="003027E3">
      <w:pPr>
        <w:pStyle w:val="Caption"/>
        <w:ind w:left="511"/>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21</w:t>
      </w:r>
      <w:r w:rsidR="006E1B57" w:rsidRPr="006552E9">
        <w:fldChar w:fldCharType="end"/>
      </w:r>
      <w:r w:rsidRPr="006552E9">
        <w:t xml:space="preserve">: Staff resignations and turnover rate, </w:t>
      </w:r>
      <w:r w:rsidR="00862D7F">
        <w:t>2009/10</w:t>
      </w:r>
      <w:r w:rsidRPr="006552E9">
        <w:t xml:space="preserve"> to 2012/13</w:t>
      </w:r>
    </w:p>
    <w:p w:rsidR="003027E3" w:rsidRPr="006552E9" w:rsidRDefault="003027E3" w:rsidP="00F81CFA">
      <w:pPr>
        <w:rPr>
          <w:rFonts w:eastAsia="Calibri"/>
        </w:rPr>
      </w:pPr>
      <w:r w:rsidRPr="006552E9">
        <w:rPr>
          <w:rFonts w:eastAsia="Calibri"/>
        </w:rPr>
        <w:t>At the time each vacancy occurred, the position and rationale for it was reviewed with regard to our desire to contain personnel and operating costs.</w:t>
      </w:r>
      <w:r w:rsidR="00175E6D" w:rsidRPr="006552E9">
        <w:rPr>
          <w:rFonts w:eastAsia="Calibri"/>
        </w:rPr>
        <w:t xml:space="preserve"> </w:t>
      </w:r>
      <w:r w:rsidRPr="006552E9">
        <w:rPr>
          <w:rFonts w:eastAsia="Calibri"/>
        </w:rPr>
        <w:t>All advertised vacancies attracted good numbers of applications from people with appropriate skills, experience and qualifications and from a diverse range of backgrounds.</w:t>
      </w:r>
      <w:r w:rsidR="00175E6D" w:rsidRPr="006552E9">
        <w:rPr>
          <w:rFonts w:eastAsia="Calibri"/>
        </w:rPr>
        <w:t xml:space="preserve"> </w:t>
      </w:r>
    </w:p>
    <w:p w:rsidR="003027E3" w:rsidRPr="006552E9" w:rsidRDefault="003027E3" w:rsidP="00F81CFA">
      <w:pPr>
        <w:rPr>
          <w:rFonts w:eastAsia="Calibri"/>
        </w:rPr>
      </w:pPr>
      <w:r w:rsidRPr="006552E9">
        <w:rPr>
          <w:rFonts w:eastAsia="Calibri"/>
        </w:rPr>
        <w:t>In addition to the voluntary turnover rate noted above, two positions were disestablished in the year to 30 June 2013.</w:t>
      </w:r>
      <w:r w:rsidR="00175E6D" w:rsidRPr="006552E9">
        <w:rPr>
          <w:rFonts w:eastAsia="Calibri"/>
        </w:rPr>
        <w:t xml:space="preserve"> </w:t>
      </w:r>
      <w:r w:rsidRPr="006552E9">
        <w:rPr>
          <w:rFonts w:eastAsia="Calibri"/>
        </w:rPr>
        <w:t>The two employees in those roles left the organisation following a search to identify whether there were any other suitable vacancies for them, either within the organisation or externally.</w:t>
      </w:r>
    </w:p>
    <w:p w:rsidR="003027E3" w:rsidRPr="006552E9" w:rsidRDefault="003027E3" w:rsidP="00F81CFA">
      <w:pPr>
        <w:rPr>
          <w:rFonts w:eastAsia="Calibri"/>
        </w:rPr>
      </w:pPr>
      <w:r w:rsidRPr="006552E9">
        <w:t>Over the 2012/13 year there was an increase in the number of staff opting to use their Long Service Leave entitlement to undertake additional professional development.</w:t>
      </w:r>
      <w:r w:rsidR="00175E6D" w:rsidRPr="006552E9">
        <w:t xml:space="preserve"> </w:t>
      </w:r>
      <w:r w:rsidRPr="006552E9">
        <w:t>In cases where staff choose to use their long service leave to do ‘mutually beneficial’ development, we fund that development (additional to the training budget) up to the value of 1</w:t>
      </w:r>
      <w:r w:rsidR="0016706E">
        <w:t xml:space="preserve"> percent</w:t>
      </w:r>
      <w:r w:rsidRPr="006552E9">
        <w:t xml:space="preserve"> of their accumulated gross salary over the previous five years.</w:t>
      </w:r>
    </w:p>
    <w:p w:rsidR="003027E3" w:rsidRPr="006552E9" w:rsidRDefault="003027E3" w:rsidP="003027E3">
      <w:pPr>
        <w:pStyle w:val="Heading3"/>
      </w:pPr>
      <w:bookmarkStart w:id="55" w:name="_Toc339551226"/>
      <w:bookmarkStart w:id="56" w:name="_Toc373415030"/>
      <w:r w:rsidRPr="006552E9">
        <w:t>Governance and management</w:t>
      </w:r>
      <w:bookmarkEnd w:id="55"/>
      <w:bookmarkEnd w:id="56"/>
      <w:r w:rsidRPr="006552E9">
        <w:t xml:space="preserve"> </w:t>
      </w:r>
    </w:p>
    <w:p w:rsidR="003027E3" w:rsidRPr="006552E9" w:rsidRDefault="003027E3" w:rsidP="00F81CFA">
      <w:pPr>
        <w:rPr>
          <w:rFonts w:eastAsia="Calibri"/>
        </w:rPr>
      </w:pPr>
      <w:r w:rsidRPr="006552E9">
        <w:t>Creative New Zealand has in place a comprehensive governance manual and delegation schedule assigning responsibilities to the Arts Council, arts boards and management.</w:t>
      </w:r>
      <w:r w:rsidR="00175E6D" w:rsidRPr="006552E9">
        <w:t xml:space="preserve"> </w:t>
      </w:r>
    </w:p>
    <w:p w:rsidR="003027E3" w:rsidRPr="006552E9" w:rsidRDefault="003027E3" w:rsidP="00F81CFA">
      <w:r w:rsidRPr="006552E9">
        <w:t>Members of the Arts Council, arts boards and committees are aware of the duty to manage existing and potential conflicts of interest.</w:t>
      </w:r>
      <w:r w:rsidR="00175E6D" w:rsidRPr="006552E9">
        <w:t xml:space="preserve"> </w:t>
      </w:r>
      <w:r w:rsidRPr="006552E9">
        <w:t>A conflict of interest register is maintained, and meeting processes support individual members to manage all existing and potential conflicts of interest.</w:t>
      </w:r>
      <w:r w:rsidR="00175E6D" w:rsidRPr="006552E9">
        <w:t xml:space="preserve"> </w:t>
      </w:r>
    </w:p>
    <w:p w:rsidR="003027E3" w:rsidRPr="006552E9" w:rsidRDefault="003027E3" w:rsidP="00F81CFA">
      <w:r w:rsidRPr="006552E9">
        <w:t>New Arts Council, arts board and committee members receive a comprehensive induction to Creative New Zealand and their specific roles.</w:t>
      </w:r>
    </w:p>
    <w:p w:rsidR="003027E3" w:rsidRPr="006552E9" w:rsidRDefault="003027E3" w:rsidP="00F81CFA">
      <w:r w:rsidRPr="006552E9">
        <w:t>The Arts Council of New Zealand Toi Aotearoa Bill was introduced to Parliament in June 2010.</w:t>
      </w:r>
      <w:r w:rsidR="00175E6D" w:rsidRPr="006552E9">
        <w:t xml:space="preserve"> </w:t>
      </w:r>
      <w:r w:rsidRPr="006552E9">
        <w:t>A comprehensive transition project has been developed to ensure that the new Arts Council, once appointed, is able to assume its responsibilities and fulfil its functions from day one.</w:t>
      </w:r>
      <w:r w:rsidR="00175E6D" w:rsidRPr="006552E9">
        <w:t xml:space="preserve"> </w:t>
      </w:r>
      <w:r w:rsidRPr="006552E9">
        <w:t>The transition project includes a full review of all delegations and decision making processes.</w:t>
      </w:r>
    </w:p>
    <w:p w:rsidR="003A79C8" w:rsidRPr="006552E9" w:rsidRDefault="003A79C8" w:rsidP="00F81CFA">
      <w:r w:rsidRPr="006552E9">
        <w:t>The Finance, Risk and Audit Committee maintained an overview of Creative New Zealand’s financial position and risk management (every two months) and legislative compliance (twice yearly).</w:t>
      </w:r>
    </w:p>
    <w:p w:rsidR="003027E3" w:rsidRPr="006552E9" w:rsidRDefault="003027E3" w:rsidP="003027E3">
      <w:pPr>
        <w:pStyle w:val="Heading3"/>
      </w:pPr>
      <w:bookmarkStart w:id="57" w:name="_Toc339551227"/>
      <w:bookmarkStart w:id="58" w:name="_Toc373415031"/>
      <w:r w:rsidRPr="006552E9">
        <w:t>Structures and processes</w:t>
      </w:r>
      <w:bookmarkEnd w:id="57"/>
      <w:bookmarkEnd w:id="58"/>
    </w:p>
    <w:p w:rsidR="003027E3" w:rsidRPr="006552E9" w:rsidRDefault="003A79C8" w:rsidP="00901445">
      <w:r w:rsidRPr="006552E9">
        <w:t xml:space="preserve">A priority for Creative New Zealand in 2012/13 and 2013/14 is an overhaul of information and communications technology to </w:t>
      </w:r>
      <w:r w:rsidR="00EC08EB" w:rsidRPr="006552E9">
        <w:t>make better</w:t>
      </w:r>
      <w:r w:rsidR="00877D63">
        <w:t xml:space="preserve"> use of 21</w:t>
      </w:r>
      <w:r w:rsidR="00877D63" w:rsidRPr="002607BD">
        <w:t>st</w:t>
      </w:r>
      <w:r w:rsidR="00877D63">
        <w:t xml:space="preserve"> </w:t>
      </w:r>
      <w:r w:rsidR="003027E3" w:rsidRPr="006552E9">
        <w:t>century tools.</w:t>
      </w:r>
      <w:r w:rsidR="00175E6D" w:rsidRPr="006552E9">
        <w:t xml:space="preserve"> </w:t>
      </w:r>
      <w:r w:rsidR="003027E3" w:rsidRPr="006552E9">
        <w:t>In 2012/13, we:</w:t>
      </w:r>
    </w:p>
    <w:p w:rsidR="003027E3" w:rsidRPr="006552E9" w:rsidRDefault="003027E3" w:rsidP="00901445">
      <w:pPr>
        <w:pStyle w:val="Bullet"/>
      </w:pPr>
      <w:r w:rsidRPr="006552E9">
        <w:t xml:space="preserve">selected a provider and technology for developing a contemporary grants and customer management system, and began to build the system </w:t>
      </w:r>
    </w:p>
    <w:p w:rsidR="003027E3" w:rsidRPr="006552E9" w:rsidRDefault="003027E3" w:rsidP="00901445">
      <w:pPr>
        <w:pStyle w:val="Bullet"/>
      </w:pPr>
      <w:r w:rsidRPr="006552E9">
        <w:t>continued to improve the functionality and reporting of existing legacy information systems as an interim measure.</w:t>
      </w:r>
    </w:p>
    <w:p w:rsidR="003027E3" w:rsidRPr="006552E9" w:rsidRDefault="003027E3" w:rsidP="003027E3">
      <w:pPr>
        <w:pStyle w:val="Heading3"/>
      </w:pPr>
      <w:bookmarkStart w:id="59" w:name="_Toc339551228"/>
      <w:bookmarkStart w:id="60" w:name="_Toc373415032"/>
      <w:r w:rsidRPr="006552E9">
        <w:t>Equal Employment Opportunities (EEO) reporting</w:t>
      </w:r>
      <w:bookmarkEnd w:id="59"/>
      <w:bookmarkEnd w:id="60"/>
    </w:p>
    <w:p w:rsidR="003027E3" w:rsidRPr="006552E9" w:rsidRDefault="003027E3" w:rsidP="003027E3">
      <w:r w:rsidRPr="006552E9">
        <w:t>The Crown Entities Act 2004 requires us to:</w:t>
      </w:r>
    </w:p>
    <w:p w:rsidR="003027E3" w:rsidRPr="006552E9" w:rsidRDefault="003027E3" w:rsidP="003027E3">
      <w:pPr>
        <w:pStyle w:val="Bullet"/>
      </w:pPr>
      <w:r w:rsidRPr="006552E9">
        <w:t>operate a personnel policy that complies with the principle of being a good employer</w:t>
      </w:r>
    </w:p>
    <w:p w:rsidR="003027E3" w:rsidRPr="006552E9" w:rsidRDefault="003027E3" w:rsidP="003027E3">
      <w:pPr>
        <w:pStyle w:val="Bullet"/>
      </w:pPr>
      <w:r w:rsidRPr="006552E9">
        <w:t>make that policy available to employees</w:t>
      </w:r>
    </w:p>
    <w:p w:rsidR="003027E3" w:rsidRPr="006552E9" w:rsidRDefault="003027E3" w:rsidP="003027E3">
      <w:pPr>
        <w:pStyle w:val="Bullet"/>
      </w:pPr>
      <w:r w:rsidRPr="006552E9">
        <w:t>ensure that we comply with the personnel policy and report in the Annual Report on the extent of our compliance.</w:t>
      </w:r>
    </w:p>
    <w:p w:rsidR="003027E3" w:rsidRPr="006552E9" w:rsidRDefault="003027E3" w:rsidP="003027E3">
      <w:pPr>
        <w:pStyle w:val="Heading4"/>
      </w:pPr>
      <w:r w:rsidRPr="006552E9">
        <w:t>EEO policy and practice</w:t>
      </w:r>
    </w:p>
    <w:p w:rsidR="003027E3" w:rsidRPr="006552E9" w:rsidRDefault="003027E3" w:rsidP="003027E3">
      <w:r w:rsidRPr="006552E9">
        <w:t>Creative New Zealand’s EEO policy is an integral part of the organisation’s policy and procedures manual.</w:t>
      </w:r>
      <w:r w:rsidR="00175E6D" w:rsidRPr="006552E9">
        <w:t xml:space="preserve"> </w:t>
      </w:r>
      <w:r w:rsidRPr="006552E9">
        <w:t>A copy of the manual is readily available from our intranet and new staff are required to read key policies including the EEO Policy during their induction.</w:t>
      </w:r>
    </w:p>
    <w:p w:rsidR="003027E3" w:rsidRPr="006552E9" w:rsidRDefault="003027E3" w:rsidP="003027E3"/>
    <w:p w:rsidR="003027E3" w:rsidRPr="006552E9" w:rsidRDefault="003027E3" w:rsidP="003027E3">
      <w:pPr>
        <w:pStyle w:val="Caption"/>
        <w:keepNext/>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5</w:t>
      </w:r>
      <w:r w:rsidR="006E1B57" w:rsidRPr="006552E9">
        <w:fldChar w:fldCharType="end"/>
      </w:r>
      <w:r w:rsidRPr="006552E9">
        <w:t>: Staff profile as at 30 June 2013</w:t>
      </w:r>
    </w:p>
    <w:tbl>
      <w:tblPr>
        <w:tblW w:w="8955" w:type="dxa"/>
        <w:tblInd w:w="103" w:type="dxa"/>
        <w:tblCellMar>
          <w:top w:w="28" w:type="dxa"/>
          <w:bottom w:w="28" w:type="dxa"/>
        </w:tblCellMar>
        <w:tblLook w:val="04A0" w:firstRow="1" w:lastRow="0" w:firstColumn="1" w:lastColumn="0" w:noHBand="0" w:noVBand="1"/>
      </w:tblPr>
      <w:tblGrid>
        <w:gridCol w:w="2132"/>
        <w:gridCol w:w="992"/>
        <w:gridCol w:w="1295"/>
        <w:gridCol w:w="2248"/>
        <w:gridCol w:w="993"/>
        <w:gridCol w:w="1295"/>
      </w:tblGrid>
      <w:tr w:rsidR="003027E3" w:rsidRPr="006552E9" w:rsidTr="007B130A">
        <w:trPr>
          <w:trHeight w:val="300"/>
          <w:tblHeader/>
        </w:trPr>
        <w:tc>
          <w:tcPr>
            <w:tcW w:w="213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 </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Number</w:t>
            </w:r>
          </w:p>
        </w:tc>
        <w:tc>
          <w:tcPr>
            <w:tcW w:w="1295" w:type="dxa"/>
            <w:tcBorders>
              <w:top w:val="single" w:sz="4" w:space="0" w:color="auto"/>
              <w:left w:val="nil"/>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Percentage</w:t>
            </w:r>
          </w:p>
        </w:tc>
        <w:tc>
          <w:tcPr>
            <w:tcW w:w="2248" w:type="dxa"/>
            <w:tcBorders>
              <w:top w:val="single" w:sz="4" w:space="0" w:color="auto"/>
              <w:left w:val="nil"/>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 </w:t>
            </w:r>
          </w:p>
        </w:tc>
        <w:tc>
          <w:tcPr>
            <w:tcW w:w="993" w:type="dxa"/>
            <w:tcBorders>
              <w:top w:val="single" w:sz="4" w:space="0" w:color="auto"/>
              <w:left w:val="nil"/>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Number</w:t>
            </w:r>
          </w:p>
        </w:tc>
        <w:tc>
          <w:tcPr>
            <w:tcW w:w="1295" w:type="dxa"/>
            <w:tcBorders>
              <w:top w:val="single" w:sz="4" w:space="0" w:color="auto"/>
              <w:left w:val="nil"/>
              <w:bottom w:val="single" w:sz="4" w:space="0" w:color="auto"/>
              <w:right w:val="single" w:sz="4" w:space="0" w:color="auto"/>
            </w:tcBorders>
            <w:shd w:val="clear" w:color="000000" w:fill="B8CCE4"/>
            <w:noWrap/>
            <w:vAlign w:val="center"/>
            <w:hideMark/>
          </w:tcPr>
          <w:p w:rsidR="003027E3" w:rsidRPr="006552E9" w:rsidRDefault="003027E3" w:rsidP="007B130A">
            <w:pPr>
              <w:spacing w:before="0"/>
              <w:jc w:val="center"/>
              <w:rPr>
                <w:rFonts w:cs="Arial"/>
                <w:b/>
                <w:bCs/>
                <w:color w:val="000000"/>
                <w:sz w:val="20"/>
                <w:szCs w:val="20"/>
              </w:rPr>
            </w:pPr>
            <w:r w:rsidRPr="006552E9">
              <w:rPr>
                <w:rFonts w:cs="Arial"/>
                <w:b/>
                <w:bCs/>
                <w:color w:val="000000"/>
                <w:sz w:val="20"/>
                <w:szCs w:val="20"/>
              </w:rPr>
              <w:t>Percentage</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Staff full-time equivalent</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50.2</w:t>
            </w:r>
          </w:p>
        </w:tc>
        <w:tc>
          <w:tcPr>
            <w:tcW w:w="1295"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 </w:t>
            </w:r>
          </w:p>
        </w:tc>
        <w:tc>
          <w:tcPr>
            <w:tcW w:w="4536" w:type="dxa"/>
            <w:gridSpan w:val="3"/>
            <w:tcBorders>
              <w:top w:val="single" w:sz="4" w:space="0" w:color="auto"/>
              <w:left w:val="nil"/>
              <w:bottom w:val="single" w:sz="4" w:space="0" w:color="auto"/>
              <w:right w:val="single" w:sz="4" w:space="0" w:color="000000"/>
            </w:tcBorders>
            <w:shd w:val="clear" w:color="000000" w:fill="DBE5F1"/>
            <w:noWrap/>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All staff</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Headcount</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53.0</w:t>
            </w:r>
          </w:p>
        </w:tc>
        <w:tc>
          <w:tcPr>
            <w:tcW w:w="1295" w:type="dxa"/>
            <w:vMerge/>
            <w:tcBorders>
              <w:top w:val="nil"/>
              <w:left w:val="single" w:sz="4" w:space="0" w:color="auto"/>
              <w:bottom w:val="single" w:sz="4" w:space="0" w:color="000000"/>
              <w:right w:val="single" w:sz="4" w:space="0" w:color="auto"/>
            </w:tcBorders>
            <w:vAlign w:val="center"/>
            <w:hideMark/>
          </w:tcPr>
          <w:p w:rsidR="003027E3" w:rsidRPr="006552E9" w:rsidRDefault="003027E3" w:rsidP="007B130A">
            <w:pPr>
              <w:spacing w:before="0"/>
              <w:jc w:val="left"/>
              <w:rPr>
                <w:rFonts w:cs="Arial"/>
                <w:color w:val="000000"/>
                <w:sz w:val="20"/>
                <w:szCs w:val="20"/>
              </w:rPr>
            </w:pP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Men</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14</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26</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Permanent staff</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46.2</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92</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Women</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39</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74</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Fixed-term contracts</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4.0</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8</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 xml:space="preserve">Māori </w:t>
            </w:r>
          </w:p>
        </w:tc>
        <w:tc>
          <w:tcPr>
            <w:tcW w:w="993" w:type="dxa"/>
            <w:tcBorders>
              <w:top w:val="nil"/>
              <w:left w:val="nil"/>
              <w:bottom w:val="single" w:sz="4" w:space="0" w:color="auto"/>
              <w:right w:val="single" w:sz="4" w:space="0" w:color="auto"/>
            </w:tcBorders>
            <w:shd w:val="clear" w:color="auto" w:fill="auto"/>
            <w:noWrap/>
            <w:vAlign w:val="bottom"/>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6</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11</w:t>
            </w:r>
          </w:p>
        </w:tc>
      </w:tr>
      <w:tr w:rsidR="003027E3" w:rsidRPr="006552E9" w:rsidTr="007B130A">
        <w:trPr>
          <w:trHeight w:val="300"/>
        </w:trPr>
        <w:tc>
          <w:tcPr>
            <w:tcW w:w="4419"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Senior leadership team (Chief Executive and direct reports)</w:t>
            </w: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Pacific Island</w:t>
            </w:r>
          </w:p>
        </w:tc>
        <w:tc>
          <w:tcPr>
            <w:tcW w:w="993" w:type="dxa"/>
            <w:tcBorders>
              <w:top w:val="nil"/>
              <w:left w:val="nil"/>
              <w:bottom w:val="single" w:sz="4" w:space="0" w:color="auto"/>
              <w:right w:val="single" w:sz="4" w:space="0" w:color="auto"/>
            </w:tcBorders>
            <w:shd w:val="clear" w:color="auto" w:fill="auto"/>
            <w:noWrap/>
            <w:vAlign w:val="bottom"/>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6</w:t>
            </w:r>
          </w:p>
        </w:tc>
      </w:tr>
      <w:tr w:rsidR="003027E3" w:rsidRPr="006552E9" w:rsidTr="007B130A">
        <w:trPr>
          <w:trHeight w:val="300"/>
        </w:trPr>
        <w:tc>
          <w:tcPr>
            <w:tcW w:w="4419" w:type="dxa"/>
            <w:gridSpan w:val="3"/>
            <w:vMerge/>
            <w:tcBorders>
              <w:top w:val="single" w:sz="4" w:space="0" w:color="000000"/>
              <w:left w:val="single" w:sz="4" w:space="0" w:color="auto"/>
              <w:bottom w:val="single" w:sz="4" w:space="0" w:color="auto"/>
              <w:right w:val="single" w:sz="4" w:space="0" w:color="auto"/>
            </w:tcBorders>
            <w:vAlign w:val="center"/>
            <w:hideMark/>
          </w:tcPr>
          <w:p w:rsidR="003027E3" w:rsidRPr="006552E9" w:rsidRDefault="003027E3" w:rsidP="007B130A">
            <w:pPr>
              <w:spacing w:before="0"/>
              <w:jc w:val="left"/>
              <w:rPr>
                <w:rFonts w:cs="Arial"/>
                <w:b/>
                <w:bCs/>
                <w:color w:val="000000"/>
                <w:sz w:val="20"/>
                <w:szCs w:val="20"/>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People with disabilities</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w:t>
            </w:r>
          </w:p>
        </w:tc>
        <w:tc>
          <w:tcPr>
            <w:tcW w:w="1295" w:type="dxa"/>
            <w:tcBorders>
              <w:top w:val="nil"/>
              <w:left w:val="nil"/>
              <w:bottom w:val="single" w:sz="4" w:space="0" w:color="auto"/>
              <w:right w:val="single" w:sz="4" w:space="0" w:color="auto"/>
            </w:tcBorders>
            <w:shd w:val="clear" w:color="auto" w:fill="auto"/>
            <w:noWrap/>
            <w:vAlign w:val="bottom"/>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2</w:t>
            </w:r>
          </w:p>
        </w:tc>
      </w:tr>
      <w:tr w:rsidR="003027E3" w:rsidRPr="006552E9" w:rsidTr="007B130A">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Men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50</w:t>
            </w:r>
          </w:p>
        </w:tc>
        <w:tc>
          <w:tcPr>
            <w:tcW w:w="2248" w:type="dxa"/>
            <w:tcBorders>
              <w:top w:val="nil"/>
              <w:left w:val="nil"/>
              <w:bottom w:val="single" w:sz="4" w:space="0" w:color="auto"/>
              <w:right w:val="nil"/>
            </w:tcBorders>
            <w:shd w:val="clear" w:color="000000" w:fill="DBE5F1"/>
            <w:noWrap/>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Age groups</w:t>
            </w:r>
          </w:p>
        </w:tc>
        <w:tc>
          <w:tcPr>
            <w:tcW w:w="993" w:type="dxa"/>
            <w:tcBorders>
              <w:top w:val="nil"/>
              <w:left w:val="nil"/>
              <w:bottom w:val="single" w:sz="4" w:space="0" w:color="auto"/>
              <w:right w:val="nil"/>
            </w:tcBorders>
            <w:shd w:val="clear" w:color="000000" w:fill="DBE5F1"/>
            <w:noWrap/>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 </w:t>
            </w:r>
          </w:p>
        </w:tc>
        <w:tc>
          <w:tcPr>
            <w:tcW w:w="1295" w:type="dxa"/>
            <w:tcBorders>
              <w:top w:val="nil"/>
              <w:left w:val="nil"/>
              <w:bottom w:val="single" w:sz="4" w:space="0" w:color="auto"/>
              <w:right w:val="single" w:sz="4" w:space="0" w:color="auto"/>
            </w:tcBorders>
            <w:shd w:val="clear" w:color="000000" w:fill="DBE5F1"/>
            <w:noWrap/>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 </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Women</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50</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20 – 29</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5</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10</w:t>
            </w:r>
          </w:p>
        </w:tc>
      </w:tr>
      <w:tr w:rsidR="003027E3" w:rsidRPr="006552E9" w:rsidTr="007B130A">
        <w:trPr>
          <w:trHeight w:val="300"/>
        </w:trPr>
        <w:tc>
          <w:tcPr>
            <w:tcW w:w="4419" w:type="dxa"/>
            <w:gridSpan w:val="3"/>
            <w:tcBorders>
              <w:top w:val="single" w:sz="4" w:space="0" w:color="auto"/>
              <w:left w:val="single" w:sz="4" w:space="0" w:color="auto"/>
              <w:bottom w:val="single" w:sz="4" w:space="0" w:color="auto"/>
              <w:right w:val="single" w:sz="4" w:space="0" w:color="000000"/>
            </w:tcBorders>
            <w:shd w:val="clear" w:color="000000" w:fill="DBE5F1"/>
            <w:noWrap/>
            <w:vAlign w:val="center"/>
            <w:hideMark/>
          </w:tcPr>
          <w:p w:rsidR="003027E3" w:rsidRPr="006552E9" w:rsidRDefault="003027E3" w:rsidP="007B130A">
            <w:pPr>
              <w:spacing w:before="0"/>
              <w:jc w:val="left"/>
              <w:rPr>
                <w:rFonts w:cs="Arial"/>
                <w:b/>
                <w:bCs/>
                <w:color w:val="000000"/>
                <w:sz w:val="20"/>
                <w:szCs w:val="20"/>
              </w:rPr>
            </w:pPr>
            <w:r w:rsidRPr="006552E9">
              <w:rPr>
                <w:rFonts w:cs="Arial"/>
                <w:b/>
                <w:bCs/>
                <w:color w:val="000000"/>
                <w:sz w:val="20"/>
                <w:szCs w:val="20"/>
              </w:rPr>
              <w:t>All managers (incl senior leadership team)</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 xml:space="preserve">30 – 39 </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16</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30</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Men</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6</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32</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40 – 49</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15</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28</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Women</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13</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68</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50 – 59</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11</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21</w:t>
            </w:r>
          </w:p>
        </w:tc>
      </w:tr>
      <w:tr w:rsidR="003027E3" w:rsidRPr="006552E9" w:rsidTr="007B130A">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 xml:space="preserve">Māori </w:t>
            </w:r>
          </w:p>
        </w:tc>
        <w:tc>
          <w:tcPr>
            <w:tcW w:w="992"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3</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14</w:t>
            </w:r>
          </w:p>
        </w:tc>
        <w:tc>
          <w:tcPr>
            <w:tcW w:w="2248"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left"/>
              <w:rPr>
                <w:rFonts w:cs="Arial"/>
                <w:color w:val="000000"/>
                <w:sz w:val="20"/>
                <w:szCs w:val="20"/>
              </w:rPr>
            </w:pPr>
            <w:r w:rsidRPr="006552E9">
              <w:rPr>
                <w:rFonts w:cs="Arial"/>
                <w:color w:val="000000"/>
                <w:sz w:val="20"/>
                <w:szCs w:val="20"/>
              </w:rPr>
              <w:t>60 +</w:t>
            </w:r>
          </w:p>
        </w:tc>
        <w:tc>
          <w:tcPr>
            <w:tcW w:w="993"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6</w:t>
            </w:r>
          </w:p>
        </w:tc>
        <w:tc>
          <w:tcPr>
            <w:tcW w:w="1295" w:type="dxa"/>
            <w:tcBorders>
              <w:top w:val="nil"/>
              <w:left w:val="nil"/>
              <w:bottom w:val="single" w:sz="4" w:space="0" w:color="auto"/>
              <w:right w:val="single" w:sz="4" w:space="0" w:color="auto"/>
            </w:tcBorders>
            <w:shd w:val="clear" w:color="auto" w:fill="auto"/>
            <w:noWrap/>
            <w:vAlign w:val="center"/>
            <w:hideMark/>
          </w:tcPr>
          <w:p w:rsidR="003027E3" w:rsidRPr="006552E9" w:rsidRDefault="003027E3" w:rsidP="007B130A">
            <w:pPr>
              <w:spacing w:before="0"/>
              <w:jc w:val="center"/>
              <w:rPr>
                <w:rFonts w:cs="Arial"/>
                <w:color w:val="000000"/>
                <w:sz w:val="20"/>
                <w:szCs w:val="20"/>
              </w:rPr>
            </w:pPr>
            <w:r w:rsidRPr="006552E9">
              <w:rPr>
                <w:rFonts w:cs="Arial"/>
                <w:color w:val="000000"/>
                <w:sz w:val="20"/>
                <w:szCs w:val="20"/>
              </w:rPr>
              <w:t>11</w:t>
            </w:r>
          </w:p>
        </w:tc>
      </w:tr>
    </w:tbl>
    <w:p w:rsidR="003027E3" w:rsidRPr="006552E9" w:rsidRDefault="003027E3" w:rsidP="003027E3">
      <w:pPr>
        <w:pStyle w:val="Heading4"/>
      </w:pPr>
      <w:r w:rsidRPr="006552E9">
        <w:t>Responsiveness to M</w:t>
      </w:r>
      <w:r w:rsidRPr="006552E9">
        <w:rPr>
          <w:rFonts w:cs="Arial"/>
        </w:rPr>
        <w:t>ā</w:t>
      </w:r>
      <w:r w:rsidRPr="006552E9">
        <w:t>ori</w:t>
      </w:r>
    </w:p>
    <w:p w:rsidR="003027E3" w:rsidRPr="006552E9" w:rsidRDefault="003027E3" w:rsidP="003027E3">
      <w:r w:rsidRPr="006552E9">
        <w:t>Creative New Zealand continues to provide regular tuition in te reo.</w:t>
      </w:r>
      <w:r w:rsidR="00175E6D" w:rsidRPr="006552E9">
        <w:t xml:space="preserve"> </w:t>
      </w:r>
      <w:r w:rsidRPr="006552E9">
        <w:t>Many staff attend waiata practice, and there are monthly talks about tikanga and kaupapa Māori at staff meetings.</w:t>
      </w:r>
      <w:r w:rsidR="00175E6D" w:rsidRPr="006552E9">
        <w:t xml:space="preserve"> </w:t>
      </w:r>
      <w:r w:rsidRPr="006552E9">
        <w:t>Business cards and organisational signage feature titles in te reo, and staff are encouraged to use M</w:t>
      </w:r>
      <w:r w:rsidRPr="006552E9">
        <w:rPr>
          <w:rFonts w:cs="Arial"/>
        </w:rPr>
        <w:t>ā</w:t>
      </w:r>
      <w:r w:rsidRPr="006552E9">
        <w:t>ori greetings and signoffs in their communications with customers.</w:t>
      </w:r>
      <w:r w:rsidR="00175E6D" w:rsidRPr="006552E9">
        <w:t xml:space="preserve"> </w:t>
      </w:r>
    </w:p>
    <w:p w:rsidR="003027E3" w:rsidRPr="006552E9" w:rsidRDefault="003027E3" w:rsidP="003027E3">
      <w:r w:rsidRPr="006552E9">
        <w:t>This year</w:t>
      </w:r>
      <w:r w:rsidR="002607BD">
        <w:t>,</w:t>
      </w:r>
      <w:r w:rsidRPr="006552E9">
        <w:t xml:space="preserve"> we included questions on </w:t>
      </w:r>
      <w:r w:rsidR="002607BD">
        <w:t>‘</w:t>
      </w:r>
      <w:r w:rsidR="00727E61" w:rsidRPr="006552E9">
        <w:t>Māori</w:t>
      </w:r>
      <w:r w:rsidRPr="006552E9">
        <w:t xml:space="preserve"> Responsiveness’ in the Engagement survey.</w:t>
      </w:r>
      <w:r w:rsidR="00175E6D" w:rsidRPr="006552E9">
        <w:t xml:space="preserve"> </w:t>
      </w:r>
      <w:r w:rsidRPr="006552E9">
        <w:t>The results are as follows:</w:t>
      </w:r>
    </w:p>
    <w:p w:rsidR="003027E3" w:rsidRPr="006552E9" w:rsidRDefault="003027E3" w:rsidP="003027E3">
      <w:pPr>
        <w:numPr>
          <w:ilvl w:val="0"/>
          <w:numId w:val="30"/>
        </w:numPr>
        <w:ind w:left="357" w:hanging="357"/>
        <w:rPr>
          <w:i/>
        </w:rPr>
      </w:pPr>
      <w:r w:rsidRPr="006552E9">
        <w:rPr>
          <w:i/>
        </w:rPr>
        <w:t xml:space="preserve">This organisation has clearly defined </w:t>
      </w:r>
      <w:r w:rsidR="00727E61" w:rsidRPr="006552E9">
        <w:rPr>
          <w:i/>
        </w:rPr>
        <w:t>Māori</w:t>
      </w:r>
      <w:r w:rsidRPr="006552E9">
        <w:rPr>
          <w:i/>
        </w:rPr>
        <w:t xml:space="preserve"> goals and objectives </w:t>
      </w:r>
      <w:r w:rsidR="00883508">
        <w:rPr>
          <w:i/>
        </w:rPr>
        <w:t>(</w:t>
      </w:r>
      <w:r w:rsidRPr="006552E9">
        <w:rPr>
          <w:i/>
        </w:rPr>
        <w:t>75.5</w:t>
      </w:r>
      <w:r w:rsidR="0016706E">
        <w:rPr>
          <w:i/>
        </w:rPr>
        <w:t xml:space="preserve"> percent</w:t>
      </w:r>
      <w:r w:rsidR="00883508">
        <w:rPr>
          <w:i/>
        </w:rPr>
        <w:t>)</w:t>
      </w:r>
    </w:p>
    <w:p w:rsidR="003027E3" w:rsidRPr="006552E9" w:rsidRDefault="003027E3" w:rsidP="003027E3">
      <w:pPr>
        <w:numPr>
          <w:ilvl w:val="0"/>
          <w:numId w:val="30"/>
        </w:numPr>
        <w:ind w:left="357" w:hanging="357"/>
        <w:rPr>
          <w:i/>
        </w:rPr>
      </w:pPr>
      <w:r w:rsidRPr="006552E9">
        <w:rPr>
          <w:i/>
        </w:rPr>
        <w:t xml:space="preserve">I am encouraged to participate in training and development that enables me to contribute to this organisation’s </w:t>
      </w:r>
      <w:r w:rsidR="00727E61" w:rsidRPr="006552E9">
        <w:rPr>
          <w:i/>
        </w:rPr>
        <w:t>Māori</w:t>
      </w:r>
      <w:r w:rsidRPr="006552E9">
        <w:rPr>
          <w:i/>
        </w:rPr>
        <w:t xml:space="preserve"> goals and objectives </w:t>
      </w:r>
      <w:r w:rsidR="00883508">
        <w:rPr>
          <w:i/>
        </w:rPr>
        <w:t>(</w:t>
      </w:r>
      <w:r w:rsidRPr="006552E9">
        <w:rPr>
          <w:i/>
        </w:rPr>
        <w:t>71</w:t>
      </w:r>
      <w:r w:rsidR="0016706E">
        <w:rPr>
          <w:i/>
        </w:rPr>
        <w:t xml:space="preserve"> percent</w:t>
      </w:r>
      <w:r w:rsidR="00883508">
        <w:rPr>
          <w:i/>
        </w:rPr>
        <w:t>)</w:t>
      </w:r>
    </w:p>
    <w:p w:rsidR="003027E3" w:rsidRPr="006552E9" w:rsidRDefault="003027E3" w:rsidP="003027E3">
      <w:pPr>
        <w:pStyle w:val="Heading4"/>
      </w:pPr>
      <w:r w:rsidRPr="006552E9">
        <w:t>Staff wellbeing</w:t>
      </w:r>
    </w:p>
    <w:p w:rsidR="003027E3" w:rsidRPr="006552E9" w:rsidRDefault="003027E3" w:rsidP="003027E3">
      <w:r w:rsidRPr="006552E9">
        <w:t>Creative New Zealand regularly promotes health and safety and wellbeing awareness through several initiatives including:</w:t>
      </w:r>
    </w:p>
    <w:p w:rsidR="003027E3" w:rsidRPr="006552E9" w:rsidRDefault="003027E3" w:rsidP="003027E3">
      <w:pPr>
        <w:pStyle w:val="Bullet"/>
      </w:pPr>
      <w:r w:rsidRPr="006552E9">
        <w:t>providing access to an employer-paid and confidential employee assistance programme and publicising the support to staff</w:t>
      </w:r>
    </w:p>
    <w:p w:rsidR="003027E3" w:rsidRPr="006552E9" w:rsidRDefault="003027E3" w:rsidP="003027E3">
      <w:pPr>
        <w:pStyle w:val="Bullet"/>
      </w:pPr>
      <w:r w:rsidRPr="006552E9">
        <w:t xml:space="preserve">providing flu vaccinations free to all staff </w:t>
      </w:r>
    </w:p>
    <w:p w:rsidR="003027E3" w:rsidRPr="006552E9" w:rsidRDefault="003027E3" w:rsidP="003027E3">
      <w:pPr>
        <w:pStyle w:val="Bullet"/>
      </w:pPr>
      <w:r w:rsidRPr="006552E9">
        <w:t>providing workstation assessments to all new staff and anyone experiencing physical discomfort at their desk</w:t>
      </w:r>
    </w:p>
    <w:p w:rsidR="003027E3" w:rsidRPr="006552E9" w:rsidRDefault="003027E3" w:rsidP="003027E3">
      <w:pPr>
        <w:pStyle w:val="Bullet"/>
      </w:pPr>
      <w:r w:rsidRPr="006552E9">
        <w:t>providing a ‘reasonable’ sick leave entitlement for personal and domestic situations</w:t>
      </w:r>
    </w:p>
    <w:p w:rsidR="003027E3" w:rsidRPr="006552E9" w:rsidRDefault="003027E3" w:rsidP="003027E3">
      <w:pPr>
        <w:pStyle w:val="Bullet"/>
      </w:pPr>
      <w:r w:rsidRPr="006552E9">
        <w:t>providing life and income protection insurance for all permanent staff.</w:t>
      </w:r>
    </w:p>
    <w:p w:rsidR="003027E3" w:rsidRPr="006552E9" w:rsidRDefault="003027E3" w:rsidP="003027E3">
      <w:r w:rsidRPr="006552E9">
        <w:t>In the latest Engagement survey</w:t>
      </w:r>
      <w:r w:rsidR="00D2587F">
        <w:t>,</w:t>
      </w:r>
      <w:r w:rsidRPr="006552E9">
        <w:t xml:space="preserve"> there was a 76.5 percent satisfaction rate from staff to the statement ‘This organisation cares about the wellbeing of its people’.</w:t>
      </w:r>
    </w:p>
    <w:p w:rsidR="003027E3" w:rsidRPr="006552E9" w:rsidRDefault="003027E3" w:rsidP="003027E3">
      <w:r w:rsidRPr="006552E9">
        <w:t xml:space="preserve">The organisation has received no allegations of bullying or harassment in the </w:t>
      </w:r>
      <w:r w:rsidR="00D2587F">
        <w:t>p</w:t>
      </w:r>
      <w:r w:rsidRPr="006552E9">
        <w:t>ast 12 months.</w:t>
      </w:r>
    </w:p>
    <w:p w:rsidR="003027E3" w:rsidRPr="006552E9" w:rsidRDefault="003027E3" w:rsidP="003027E3">
      <w:pPr>
        <w:pStyle w:val="Heading4"/>
      </w:pPr>
      <w:r w:rsidRPr="006552E9">
        <w:t>Flexible work arrangements</w:t>
      </w:r>
    </w:p>
    <w:p w:rsidR="003027E3" w:rsidRPr="006552E9" w:rsidRDefault="003027E3" w:rsidP="003027E3">
      <w:r w:rsidRPr="006552E9">
        <w:t>Flexible working arrangements are offered to recognise the needs of staff.</w:t>
      </w:r>
      <w:r w:rsidR="00175E6D" w:rsidRPr="006552E9">
        <w:t xml:space="preserve"> </w:t>
      </w:r>
      <w:r w:rsidRPr="006552E9">
        <w:t>Of our staff, 15 percent work part time, and staff have remote access to our information technology systems when they need to work from home.</w:t>
      </w:r>
    </w:p>
    <w:p w:rsidR="003027E3" w:rsidRPr="006552E9" w:rsidRDefault="003027E3" w:rsidP="003027E3">
      <w:pPr>
        <w:pStyle w:val="Heading4"/>
      </w:pPr>
      <w:r w:rsidRPr="006552E9">
        <w:t>Employee development</w:t>
      </w:r>
    </w:p>
    <w:p w:rsidR="003027E3" w:rsidRPr="006552E9" w:rsidRDefault="003027E3" w:rsidP="003027E3">
      <w:r w:rsidRPr="006552E9">
        <w:t>In our latest Engagement survey, staff had a 75 percent satisfaction level with the statements:</w:t>
      </w:r>
    </w:p>
    <w:p w:rsidR="003027E3" w:rsidRPr="006552E9" w:rsidRDefault="003027E3" w:rsidP="003027E3">
      <w:pPr>
        <w:pStyle w:val="Bullet"/>
        <w:rPr>
          <w:i/>
        </w:rPr>
      </w:pPr>
      <w:r w:rsidRPr="006552E9">
        <w:rPr>
          <w:i/>
        </w:rPr>
        <w:t>I am encouraged to develop my knowledge skills and abilities in this organisation</w:t>
      </w:r>
    </w:p>
    <w:p w:rsidR="003027E3" w:rsidRPr="006552E9" w:rsidRDefault="003027E3" w:rsidP="003027E3">
      <w:pPr>
        <w:pStyle w:val="Bullet"/>
        <w:rPr>
          <w:i/>
        </w:rPr>
      </w:pPr>
      <w:r w:rsidRPr="006552E9">
        <w:rPr>
          <w:i/>
        </w:rPr>
        <w:t>This organisation ensures that I am adequately trained for the work I do.</w:t>
      </w:r>
    </w:p>
    <w:p w:rsidR="003027E3" w:rsidRPr="006552E9" w:rsidRDefault="003027E3" w:rsidP="003027E3">
      <w:r w:rsidRPr="006552E9">
        <w:t>Learning and development opportunities form an integral part of the six</w:t>
      </w:r>
      <w:r w:rsidR="00D2587F">
        <w:t>-</w:t>
      </w:r>
      <w:r w:rsidRPr="006552E9">
        <w:t>monthly performance planning and reviews, and all staff have been offered development opportunities in the past 12 months.</w:t>
      </w:r>
    </w:p>
    <w:p w:rsidR="003027E3" w:rsidRPr="006552E9" w:rsidRDefault="003027E3" w:rsidP="003027E3">
      <w:r w:rsidRPr="006552E9">
        <w:t>The training budget for the 2012/13 year was $115,000 (nearly $2,300 per full-time equivalent staff member or 2.7</w:t>
      </w:r>
      <w:r w:rsidR="0016706E">
        <w:t xml:space="preserve"> percent</w:t>
      </w:r>
      <w:r w:rsidRPr="006552E9">
        <w:t> of salary costs).</w:t>
      </w:r>
      <w:r w:rsidR="00175E6D" w:rsidRPr="006552E9">
        <w:t xml:space="preserve"> </w:t>
      </w:r>
      <w:r w:rsidRPr="006552E9">
        <w:t xml:space="preserve">Training ranged from </w:t>
      </w:r>
      <w:r w:rsidR="00D2587F" w:rsidRPr="006552E9">
        <w:t xml:space="preserve">Workwise </w:t>
      </w:r>
      <w:r w:rsidRPr="006552E9">
        <w:t>training, plain English writing, presentation skills development, weekly classes in te reo, coaching and mentoring, to leadership and management development.</w:t>
      </w:r>
      <w:r w:rsidR="00175E6D" w:rsidRPr="006552E9">
        <w:t xml:space="preserve"> </w:t>
      </w:r>
    </w:p>
    <w:p w:rsidR="003027E3" w:rsidRPr="006552E9" w:rsidRDefault="003027E3" w:rsidP="003027E3">
      <w:pPr>
        <w:pStyle w:val="Heading4"/>
      </w:pPr>
      <w:r w:rsidRPr="006552E9">
        <w:t>Management accountability</w:t>
      </w:r>
    </w:p>
    <w:p w:rsidR="003027E3" w:rsidRPr="006552E9" w:rsidRDefault="003027E3" w:rsidP="003027E3">
      <w:r w:rsidRPr="006552E9">
        <w:t xml:space="preserve">Amongst the highest rated questions in our </w:t>
      </w:r>
      <w:r w:rsidR="00D2587F">
        <w:t>Engagement</w:t>
      </w:r>
      <w:r w:rsidRPr="006552E9">
        <w:t xml:space="preserve"> survey were two relating to managers’ behaviour.</w:t>
      </w:r>
      <w:r w:rsidR="00175E6D" w:rsidRPr="006552E9">
        <w:t xml:space="preserve"> </w:t>
      </w:r>
      <w:r w:rsidRPr="006552E9">
        <w:t>These are:</w:t>
      </w:r>
    </w:p>
    <w:p w:rsidR="003027E3" w:rsidRPr="006552E9" w:rsidRDefault="003027E3" w:rsidP="003027E3">
      <w:pPr>
        <w:pStyle w:val="Bullet"/>
      </w:pPr>
      <w:r w:rsidRPr="006552E9">
        <w:rPr>
          <w:i/>
        </w:rPr>
        <w:t>The person I report to treats people with respect</w:t>
      </w:r>
      <w:r w:rsidRPr="006552E9">
        <w:t xml:space="preserve"> (82.5 percent satisfaction)</w:t>
      </w:r>
    </w:p>
    <w:p w:rsidR="003027E3" w:rsidRPr="006552E9" w:rsidRDefault="003027E3" w:rsidP="003027E3">
      <w:pPr>
        <w:pStyle w:val="Bullet"/>
      </w:pPr>
      <w:r w:rsidRPr="006552E9">
        <w:rPr>
          <w:i/>
        </w:rPr>
        <w:t>The person I report to behaves in a way that is consistent with the values of this organisation</w:t>
      </w:r>
      <w:r w:rsidRPr="006552E9">
        <w:t xml:space="preserve"> (80.5 percent satisfaction).</w:t>
      </w:r>
    </w:p>
    <w:p w:rsidR="003027E3" w:rsidRPr="006552E9" w:rsidRDefault="003027E3" w:rsidP="003027E3">
      <w:r w:rsidRPr="006552E9">
        <w:t>Managers are committed to modelling behaviours they expect of their teams.</w:t>
      </w:r>
      <w:r w:rsidR="00175E6D" w:rsidRPr="006552E9">
        <w:t xml:space="preserve"> </w:t>
      </w:r>
      <w:r w:rsidRPr="006552E9">
        <w:t xml:space="preserve">Managers </w:t>
      </w:r>
      <w:r w:rsidR="00B1339A" w:rsidRPr="006552E9">
        <w:t>are aware</w:t>
      </w:r>
      <w:r w:rsidRPr="006552E9">
        <w:t xml:space="preserve"> of the need to sustain work/life balance and allow staff to work flexible hours and from home when their domestic situation calls for this.</w:t>
      </w:r>
      <w:r w:rsidR="00175E6D" w:rsidRPr="006552E9">
        <w:t xml:space="preserve"> </w:t>
      </w:r>
      <w:r w:rsidR="00B1339A" w:rsidRPr="006552E9">
        <w:t>Staff are also supported in times of illness to ensure they</w:t>
      </w:r>
      <w:r w:rsidRPr="006552E9">
        <w:t xml:space="preserve"> take the time off work required to get back to full health.</w:t>
      </w:r>
      <w:r w:rsidR="00175E6D" w:rsidRPr="006552E9">
        <w:t xml:space="preserve"> </w:t>
      </w:r>
    </w:p>
    <w:p w:rsidR="003027E3" w:rsidRPr="006552E9" w:rsidRDefault="003027E3" w:rsidP="003027E3">
      <w:pPr>
        <w:pStyle w:val="Heading4"/>
      </w:pPr>
      <w:r w:rsidRPr="006552E9">
        <w:t>Recruitment and induction</w:t>
      </w:r>
    </w:p>
    <w:p w:rsidR="003027E3" w:rsidRPr="006552E9" w:rsidRDefault="003027E3" w:rsidP="003027E3">
      <w:r w:rsidRPr="006552E9">
        <w:t>Vacancies are advertised through diverse advertising channels, including staff networks, to attract a wide pool of applicants.</w:t>
      </w:r>
      <w:r w:rsidR="00175E6D" w:rsidRPr="006552E9">
        <w:t xml:space="preserve"> </w:t>
      </w:r>
      <w:r w:rsidRPr="006552E9">
        <w:t>Se</w:t>
      </w:r>
      <w:r w:rsidR="00877D63">
        <w:t xml:space="preserve">lection panels comprise a cross </w:t>
      </w:r>
      <w:r w:rsidRPr="006552E9">
        <w:t>section of managers and staff.</w:t>
      </w:r>
      <w:r w:rsidR="00175E6D" w:rsidRPr="006552E9">
        <w:t xml:space="preserve"> </w:t>
      </w:r>
      <w:r w:rsidRPr="006552E9">
        <w:t>Candidates are invited to bring whānau support to interviews and are normally invited to meet with members of their prospective team before an offer of employment is finalised.</w:t>
      </w:r>
    </w:p>
    <w:p w:rsidR="003027E3" w:rsidRPr="006552E9" w:rsidRDefault="003027E3" w:rsidP="003027E3">
      <w:r w:rsidRPr="006552E9">
        <w:t>Comprehensive information packs are sent to all new staff in advance of their first day.</w:t>
      </w:r>
      <w:r w:rsidR="00175E6D" w:rsidRPr="006552E9">
        <w:t xml:space="preserve"> </w:t>
      </w:r>
      <w:r w:rsidRPr="006552E9">
        <w:t>All new staff are teamed up with a buddy for support during their first weeks in the new role.</w:t>
      </w:r>
    </w:p>
    <w:p w:rsidR="003027E3" w:rsidRPr="006552E9" w:rsidRDefault="003027E3" w:rsidP="003027E3">
      <w:pPr>
        <w:sectPr w:rsidR="003027E3" w:rsidRPr="006552E9" w:rsidSect="000F032F">
          <w:footerReference w:type="even" r:id="rId40"/>
          <w:pgSz w:w="11907" w:h="16840" w:code="9"/>
          <w:pgMar w:top="1440" w:right="1440" w:bottom="1560" w:left="1440" w:header="709" w:footer="709" w:gutter="0"/>
          <w:cols w:space="708"/>
          <w:docGrid w:linePitch="360"/>
        </w:sectPr>
      </w:pPr>
      <w:r w:rsidRPr="006552E9">
        <w:t>An individualised induction programme is prepared for each new starter</w:t>
      </w:r>
      <w:r w:rsidR="00D2587F">
        <w:t>,</w:t>
      </w:r>
      <w:r w:rsidRPr="006552E9">
        <w:t xml:space="preserve"> which is designed to ensure that the new employee is quickly integrated into their role, team and the organisation.</w:t>
      </w:r>
      <w:r w:rsidR="00175E6D" w:rsidRPr="006552E9">
        <w:t xml:space="preserve"> </w:t>
      </w:r>
    </w:p>
    <w:p w:rsidR="003027E3" w:rsidRPr="006552E9" w:rsidRDefault="003027E3" w:rsidP="003473D3">
      <w:pPr>
        <w:pStyle w:val="Heading1"/>
        <w:jc w:val="left"/>
      </w:pPr>
      <w:bookmarkStart w:id="61" w:name="_Toc373415033"/>
      <w:r w:rsidRPr="006552E9">
        <w:t>Performance against Output Areas</w:t>
      </w:r>
      <w:r w:rsidRPr="006552E9">
        <w:rPr>
          <w:color w:val="0000FF"/>
        </w:rPr>
        <w:t xml:space="preserve"> </w:t>
      </w:r>
      <w:r w:rsidRPr="006552E9">
        <w:t>|</w:t>
      </w:r>
      <w:r w:rsidRPr="006552E9">
        <w:br/>
      </w:r>
      <w:r w:rsidR="003473D3" w:rsidRPr="006552E9">
        <w:t>Te whakatutuki ki ngā hua ka puta</w:t>
      </w:r>
      <w:bookmarkEnd w:id="61"/>
    </w:p>
    <w:p w:rsidR="003027E3" w:rsidRPr="006552E9" w:rsidRDefault="003027E3" w:rsidP="003027E3">
      <w:pPr>
        <w:pStyle w:val="Heading2"/>
      </w:pPr>
      <w:bookmarkStart w:id="62" w:name="_Toc373415034"/>
      <w:r w:rsidRPr="006552E9">
        <w:t>Summary</w:t>
      </w:r>
      <w:bookmarkEnd w:id="62"/>
    </w:p>
    <w:p w:rsidR="003027E3" w:rsidRPr="006552E9" w:rsidRDefault="003027E3" w:rsidP="003027E3">
      <w:r w:rsidRPr="006552E9">
        <w:t xml:space="preserve">The </w:t>
      </w:r>
      <w:r w:rsidR="00BF5FF3" w:rsidRPr="006552E9">
        <w:t>SOI</w:t>
      </w:r>
      <w:r w:rsidRPr="006552E9">
        <w:t xml:space="preserve"> 2012–15 sets out the forecast </w:t>
      </w:r>
      <w:r w:rsidR="003A79C8" w:rsidRPr="006552E9">
        <w:t xml:space="preserve">performance </w:t>
      </w:r>
      <w:r w:rsidRPr="006552E9">
        <w:t>for Creative New Zealand’s outputs.</w:t>
      </w:r>
      <w:r w:rsidR="00175E6D" w:rsidRPr="006552E9">
        <w:t xml:space="preserve"> </w:t>
      </w:r>
      <w:r w:rsidRPr="006552E9">
        <w:t xml:space="preserve">During 2012/13, Creative New Zealand met or exceeded all of the </w:t>
      </w:r>
      <w:r w:rsidR="003A79C8" w:rsidRPr="006552E9">
        <w:t xml:space="preserve">targets for performance measures </w:t>
      </w:r>
      <w:r w:rsidRPr="006552E9">
        <w:t xml:space="preserve">for </w:t>
      </w:r>
      <w:r w:rsidR="00D2587F">
        <w:t>its</w:t>
      </w:r>
      <w:r w:rsidRPr="006552E9">
        <w:t xml:space="preserve"> outputs.</w:t>
      </w:r>
      <w:r w:rsidRPr="006552E9">
        <w:rPr>
          <w:rStyle w:val="FootnoteReference"/>
        </w:rPr>
        <w:footnoteReference w:id="17"/>
      </w:r>
      <w:r w:rsidR="00175E6D" w:rsidRPr="006552E9">
        <w:t xml:space="preserve"> </w:t>
      </w:r>
    </w:p>
    <w:p w:rsidR="003027E3" w:rsidRPr="006552E9" w:rsidRDefault="003027E3" w:rsidP="003027E3">
      <w:r w:rsidRPr="006552E9">
        <w:t>Support was provided to the arts sector through our range of programmes and initiatives, in a similar funding pattern to 2011/12.</w:t>
      </w:r>
    </w:p>
    <w:p w:rsidR="003027E3" w:rsidRPr="006552E9" w:rsidRDefault="005D6E4A" w:rsidP="003027E3">
      <w:pPr>
        <w:keepNext/>
      </w:pPr>
      <w:r>
        <w:pict>
          <v:shape id="_x0000_i1038" type="#_x0000_t75" alt="Pie chart showing the expenditure to the arts sector in 2012/13 by programme.&#10;&#10;Funding by programe 2012/13&#10;Tōtara programme (was RFOs)  $14,498,425 &#10;Kahikatea programme   $9,100,628 &#10;Grants, special opportunities &amp; earthquake support   $7,949,750 &#10;Creative Communities Scheme  $3,227,191 &#10;International presentation &amp; events  $2,215,124 &#10;Capability building    $1,505,843 &#10;Advocacy  $132,632 &#10;Total  $38,629,593 &#10;" style="width:296.75pt;height:246.05pt;mso-position-vertical:absolute">
            <v:imagedata r:id="rId41"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22</w:t>
      </w:r>
      <w:r w:rsidR="006E1B57" w:rsidRPr="006552E9">
        <w:fldChar w:fldCharType="end"/>
      </w:r>
      <w:r w:rsidRPr="006552E9">
        <w:t xml:space="preserve">: Distribution of 2012/13 expenditure </w:t>
      </w:r>
      <w:r w:rsidR="008C4EC6" w:rsidRPr="006552E9">
        <w:t xml:space="preserve">(excluding personnel costs and overheads) </w:t>
      </w:r>
      <w:r w:rsidRPr="006552E9">
        <w:t>by programme</w:t>
      </w:r>
    </w:p>
    <w:p w:rsidR="003027E3" w:rsidRPr="006552E9" w:rsidRDefault="003027E3" w:rsidP="003027E3">
      <w:pPr>
        <w:spacing w:before="0"/>
        <w:jc w:val="left"/>
        <w:rPr>
          <w:b/>
          <w:bCs/>
          <w:iCs/>
          <w:color w:val="365F91"/>
          <w:sz w:val="32"/>
          <w:szCs w:val="28"/>
        </w:rPr>
      </w:pPr>
      <w:r w:rsidRPr="006552E9">
        <w:br w:type="page"/>
      </w:r>
    </w:p>
    <w:p w:rsidR="003027E3" w:rsidRPr="006552E9" w:rsidRDefault="003027E3" w:rsidP="003027E3">
      <w:pPr>
        <w:pStyle w:val="Heading2"/>
      </w:pPr>
      <w:bookmarkStart w:id="63" w:name="_Toc373415035"/>
      <w:r w:rsidRPr="006552E9">
        <w:t>Total revenue, income and expenditure under Vote: Arts, Culture and Heritage</w:t>
      </w:r>
      <w:bookmarkEnd w:id="63"/>
    </w:p>
    <w:p w:rsidR="003027E3" w:rsidRPr="006552E9" w:rsidRDefault="003027E3" w:rsidP="003027E3">
      <w:r w:rsidRPr="006552E9">
        <w:t xml:space="preserve">Creative New Zealand operates under one central government output class: </w:t>
      </w:r>
      <w:r w:rsidRPr="006552E9">
        <w:rPr>
          <w:i/>
        </w:rPr>
        <w:t>Promotion and Support of the Arts and Film</w:t>
      </w:r>
      <w:r w:rsidRPr="006552E9">
        <w:t>.</w:t>
      </w:r>
      <w:r w:rsidR="00175E6D" w:rsidRPr="006552E9">
        <w:t xml:space="preserve"> </w:t>
      </w:r>
      <w:r w:rsidRPr="006552E9">
        <w:t>Funding is received from the Government through Vote: Arts, Culture and Heritage and the New Zealand Lottery Grants Board.</w:t>
      </w:r>
    </w:p>
    <w:p w:rsidR="003027E3" w:rsidRPr="006552E9" w:rsidRDefault="003027E3" w:rsidP="003027E3">
      <w:r w:rsidRPr="006552E9">
        <w:t xml:space="preserve">Creative New Zealand has one output class: </w:t>
      </w:r>
      <w:r w:rsidRPr="006552E9">
        <w:rPr>
          <w:i/>
        </w:rPr>
        <w:t>Promotion and Support of the Arts</w:t>
      </w:r>
      <w:r w:rsidRPr="006552E9">
        <w:t>.</w:t>
      </w:r>
      <w:r w:rsidR="00175E6D" w:rsidRPr="006552E9">
        <w:t xml:space="preserve"> </w:t>
      </w:r>
      <w:r w:rsidRPr="006552E9">
        <w:t>Within that are three main output areas:</w:t>
      </w:r>
    </w:p>
    <w:p w:rsidR="003027E3" w:rsidRPr="006552E9" w:rsidRDefault="003027E3" w:rsidP="003027E3">
      <w:pPr>
        <w:pStyle w:val="Bullet"/>
      </w:pPr>
      <w:r w:rsidRPr="006552E9">
        <w:rPr>
          <w:b/>
        </w:rPr>
        <w:t>funding</w:t>
      </w:r>
      <w:r w:rsidRPr="006552E9">
        <w:t xml:space="preserve"> for artists, arts practitioners and arts organisations</w:t>
      </w:r>
    </w:p>
    <w:p w:rsidR="003027E3" w:rsidRPr="006552E9" w:rsidRDefault="003027E3" w:rsidP="003027E3">
      <w:pPr>
        <w:pStyle w:val="Bullet"/>
      </w:pPr>
      <w:r w:rsidRPr="006552E9">
        <w:rPr>
          <w:b/>
        </w:rPr>
        <w:t>capability</w:t>
      </w:r>
      <w:r w:rsidRPr="006552E9">
        <w:t xml:space="preserve"> building for artists, arts practitioners and arts organisations</w:t>
      </w:r>
    </w:p>
    <w:p w:rsidR="003027E3" w:rsidRPr="006552E9" w:rsidRDefault="003027E3" w:rsidP="003027E3">
      <w:pPr>
        <w:pStyle w:val="Bullet"/>
      </w:pPr>
      <w:r w:rsidRPr="006552E9">
        <w:rPr>
          <w:b/>
        </w:rPr>
        <w:t>advocacy</w:t>
      </w:r>
      <w:r w:rsidRPr="006552E9">
        <w:t xml:space="preserve"> for the arts.</w:t>
      </w:r>
    </w:p>
    <w:p w:rsidR="003027E3" w:rsidRPr="006552E9" w:rsidRDefault="003027E3" w:rsidP="003027E3"/>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6</w:t>
      </w:r>
      <w:r w:rsidR="006E1B57" w:rsidRPr="006552E9">
        <w:fldChar w:fldCharType="end"/>
      </w:r>
      <w:r w:rsidRPr="006552E9">
        <w:t>: Revenue and expenditure against budget, 2012/13</w:t>
      </w:r>
      <w:r w:rsidR="00737504" w:rsidRPr="006552E9">
        <w:rPr>
          <w:rStyle w:val="FootnoteReference"/>
        </w:rPr>
        <w:footnoteReference w:id="18"/>
      </w:r>
    </w:p>
    <w:tbl>
      <w:tblPr>
        <w:tblW w:w="9177" w:type="dxa"/>
        <w:tblInd w:w="93" w:type="dxa"/>
        <w:tblLook w:val="04A0" w:firstRow="1" w:lastRow="0" w:firstColumn="1" w:lastColumn="0" w:noHBand="0" w:noVBand="1"/>
      </w:tblPr>
      <w:tblGrid>
        <w:gridCol w:w="3417"/>
        <w:gridCol w:w="1440"/>
        <w:gridCol w:w="1440"/>
        <w:gridCol w:w="1440"/>
        <w:gridCol w:w="1440"/>
      </w:tblGrid>
      <w:tr w:rsidR="007A10A5" w:rsidRPr="007A10A5" w:rsidTr="007A10A5">
        <w:trPr>
          <w:trHeight w:val="600"/>
        </w:trPr>
        <w:tc>
          <w:tcPr>
            <w:tcW w:w="3417" w:type="dxa"/>
            <w:tcBorders>
              <w:top w:val="single" w:sz="4" w:space="0" w:color="auto"/>
              <w:left w:val="single" w:sz="4" w:space="0" w:color="auto"/>
              <w:bottom w:val="nil"/>
              <w:right w:val="single" w:sz="4" w:space="0" w:color="auto"/>
            </w:tcBorders>
            <w:shd w:val="clear" w:color="000000" w:fill="B8CCE4"/>
            <w:noWrap/>
            <w:vAlign w:val="center"/>
            <w:hideMark/>
          </w:tcPr>
          <w:p w:rsidR="007A10A5" w:rsidRPr="007A10A5" w:rsidRDefault="007A10A5" w:rsidP="007A10A5">
            <w:pPr>
              <w:spacing w:before="0"/>
              <w:jc w:val="center"/>
              <w:rPr>
                <w:rFonts w:ascii="Arial Narrow" w:hAnsi="Arial Narrow"/>
                <w:color w:val="000000"/>
                <w:sz w:val="20"/>
                <w:szCs w:val="20"/>
              </w:rPr>
            </w:pPr>
            <w:r w:rsidRPr="007A10A5">
              <w:rPr>
                <w:rFonts w:ascii="Arial Narrow" w:hAnsi="Arial Narrow"/>
                <w:color w:val="000000"/>
                <w:sz w:val="20"/>
                <w:szCs w:val="20"/>
              </w:rPr>
              <w:t> </w:t>
            </w:r>
          </w:p>
        </w:tc>
        <w:tc>
          <w:tcPr>
            <w:tcW w:w="1440" w:type="dxa"/>
            <w:tcBorders>
              <w:top w:val="single" w:sz="4" w:space="0" w:color="auto"/>
              <w:left w:val="nil"/>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20"/>
                <w:szCs w:val="20"/>
              </w:rPr>
            </w:pPr>
            <w:r w:rsidRPr="007A10A5">
              <w:rPr>
                <w:rFonts w:ascii="Arial Narrow" w:hAnsi="Arial Narrow"/>
                <w:b/>
                <w:bCs/>
                <w:color w:val="000000"/>
                <w:sz w:val="20"/>
                <w:szCs w:val="20"/>
              </w:rPr>
              <w:t xml:space="preserve"> 2011/12 </w:t>
            </w:r>
            <w:r w:rsidRPr="007A10A5">
              <w:rPr>
                <w:rFonts w:ascii="Arial Narrow" w:hAnsi="Arial Narrow"/>
                <w:b/>
                <w:bCs/>
                <w:color w:val="000000"/>
                <w:sz w:val="20"/>
                <w:szCs w:val="20"/>
              </w:rPr>
              <w:br/>
              <w:t>Actual</w:t>
            </w:r>
            <w:r>
              <w:rPr>
                <w:rFonts w:ascii="Arial Narrow" w:hAnsi="Arial Narrow"/>
                <w:b/>
                <w:bCs/>
                <w:color w:val="000000"/>
                <w:sz w:val="20"/>
                <w:szCs w:val="20"/>
              </w:rPr>
              <w:t xml:space="preserve"> </w:t>
            </w:r>
          </w:p>
        </w:tc>
        <w:tc>
          <w:tcPr>
            <w:tcW w:w="1440" w:type="dxa"/>
            <w:tcBorders>
              <w:top w:val="single" w:sz="4" w:space="0" w:color="auto"/>
              <w:left w:val="nil"/>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20"/>
                <w:szCs w:val="20"/>
              </w:rPr>
            </w:pPr>
            <w:r w:rsidRPr="007A10A5">
              <w:rPr>
                <w:rFonts w:ascii="Arial Narrow" w:hAnsi="Arial Narrow"/>
                <w:b/>
                <w:bCs/>
                <w:color w:val="000000"/>
                <w:sz w:val="20"/>
                <w:szCs w:val="20"/>
              </w:rPr>
              <w:t xml:space="preserve"> 2012/13 </w:t>
            </w:r>
            <w:r w:rsidRPr="007A10A5">
              <w:rPr>
                <w:rFonts w:ascii="Arial Narrow" w:hAnsi="Arial Narrow"/>
                <w:b/>
                <w:bCs/>
                <w:color w:val="000000"/>
                <w:sz w:val="20"/>
                <w:szCs w:val="20"/>
              </w:rPr>
              <w:br/>
              <w:t>Forecast</w:t>
            </w:r>
            <w:r>
              <w:rPr>
                <w:rFonts w:ascii="Arial Narrow" w:hAnsi="Arial Narrow"/>
                <w:b/>
                <w:bCs/>
                <w:color w:val="000000"/>
                <w:sz w:val="20"/>
                <w:szCs w:val="20"/>
              </w:rPr>
              <w:t xml:space="preserve"> </w:t>
            </w:r>
          </w:p>
        </w:tc>
        <w:tc>
          <w:tcPr>
            <w:tcW w:w="1440" w:type="dxa"/>
            <w:tcBorders>
              <w:top w:val="single" w:sz="4" w:space="0" w:color="auto"/>
              <w:left w:val="nil"/>
              <w:bottom w:val="single" w:sz="4" w:space="0" w:color="auto"/>
              <w:right w:val="nil"/>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20"/>
                <w:szCs w:val="20"/>
              </w:rPr>
            </w:pPr>
            <w:r w:rsidRPr="007A10A5">
              <w:rPr>
                <w:rFonts w:ascii="Arial Narrow" w:hAnsi="Arial Narrow"/>
                <w:b/>
                <w:bCs/>
                <w:color w:val="000000"/>
                <w:sz w:val="20"/>
                <w:szCs w:val="20"/>
              </w:rPr>
              <w:t xml:space="preserve">2012/13 </w:t>
            </w:r>
            <w:r w:rsidRPr="007A10A5">
              <w:rPr>
                <w:rFonts w:ascii="Arial Narrow" w:hAnsi="Arial Narrow"/>
                <w:b/>
                <w:bCs/>
                <w:color w:val="000000"/>
                <w:sz w:val="20"/>
                <w:szCs w:val="20"/>
              </w:rPr>
              <w:br/>
              <w:t>Actual</w:t>
            </w:r>
          </w:p>
        </w:tc>
        <w:tc>
          <w:tcPr>
            <w:tcW w:w="144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20"/>
                <w:szCs w:val="20"/>
              </w:rPr>
            </w:pPr>
            <w:r w:rsidRPr="007A10A5">
              <w:rPr>
                <w:rFonts w:ascii="Arial Narrow" w:hAnsi="Arial Narrow"/>
                <w:b/>
                <w:bCs/>
                <w:color w:val="000000"/>
                <w:sz w:val="20"/>
                <w:szCs w:val="20"/>
              </w:rPr>
              <w:t xml:space="preserve"> Variance </w:t>
            </w:r>
            <w:r w:rsidRPr="007A10A5">
              <w:rPr>
                <w:rFonts w:ascii="Arial Narrow" w:hAnsi="Arial Narrow"/>
                <w:b/>
                <w:bCs/>
                <w:color w:val="000000"/>
                <w:sz w:val="20"/>
                <w:szCs w:val="20"/>
              </w:rPr>
              <w:br/>
              <w:t xml:space="preserve">2012/13 </w:t>
            </w:r>
          </w:p>
        </w:tc>
      </w:tr>
      <w:tr w:rsidR="007A10A5" w:rsidRPr="007A10A5" w:rsidTr="002F2F7A">
        <w:trPr>
          <w:trHeight w:val="25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xml:space="preserve"> Revenue</w:t>
            </w:r>
            <w:r>
              <w:rPr>
                <w:rFonts w:ascii="Arial Narrow" w:hAnsi="Arial Narrow"/>
                <w:b/>
                <w:bCs/>
                <w:i/>
                <w:iCs/>
                <w:color w:val="000000"/>
                <w:sz w:val="20"/>
                <w:szCs w:val="20"/>
              </w:rPr>
              <w:t xml:space="preserve">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Promotion and support of the arts and film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15,689,000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15,689,000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15,689,000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sidR="00C02722">
              <w:rPr>
                <w:rFonts w:ascii="Arial Narrow" w:hAnsi="Arial Narrow"/>
                <w:sz w:val="20"/>
                <w:szCs w:val="20"/>
              </w:rPr>
              <w:t xml:space="preserve"> </w:t>
            </w:r>
            <w:r w:rsidR="00877D63">
              <w:rPr>
                <w:rFonts w:ascii="Arial Narrow" w:hAnsi="Arial Narrow"/>
                <w:sz w:val="20"/>
                <w:szCs w:val="20"/>
              </w:rPr>
              <w:t>–</w:t>
            </w:r>
            <w:r>
              <w:rPr>
                <w:rFonts w:ascii="Arial Narrow" w:hAnsi="Arial Narrow"/>
                <w:sz w:val="20"/>
                <w:szCs w:val="20"/>
              </w:rPr>
              <w:t xml:space="preserve"> </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New Zealand Lottery Grants Board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27,516,239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27,705,000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31,024,104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3,319,104</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Other</w:t>
            </w:r>
            <w:r>
              <w:rPr>
                <w:rFonts w:ascii="Arial Narrow" w:hAnsi="Arial Narrow"/>
                <w:color w:val="000000"/>
                <w:sz w:val="20"/>
                <w:szCs w:val="20"/>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981,969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834,000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1,689,976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855,976</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color w:val="000000"/>
                <w:sz w:val="20"/>
                <w:szCs w:val="20"/>
              </w:rPr>
            </w:pPr>
            <w:r w:rsidRPr="007A10A5">
              <w:rPr>
                <w:rFonts w:ascii="Arial Narrow" w:hAnsi="Arial Narrow"/>
                <w:b/>
                <w:bCs/>
                <w:color w:val="000000"/>
                <w:sz w:val="20"/>
                <w:szCs w:val="20"/>
              </w:rPr>
              <w:t xml:space="preserve"> Total revenue</w:t>
            </w:r>
            <w:r>
              <w:rPr>
                <w:rFonts w:ascii="Arial Narrow" w:hAnsi="Arial Narrow"/>
                <w:b/>
                <w:bCs/>
                <w:color w:val="000000"/>
                <w:sz w:val="20"/>
                <w:szCs w:val="20"/>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 xml:space="preserve">44,187,208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 xml:space="preserve">44,228,000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 xml:space="preserve">48,403,080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4,175,080</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color w:val="000000"/>
                <w:sz w:val="20"/>
                <w:szCs w:val="20"/>
              </w:rPr>
            </w:pPr>
            <w:r w:rsidRPr="007A10A5">
              <w:rPr>
                <w:rFonts w:ascii="Arial Narrow" w:hAnsi="Arial Narrow"/>
                <w:color w:val="000000"/>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color w:val="000000"/>
                <w:sz w:val="20"/>
                <w:szCs w:val="20"/>
              </w:rPr>
            </w:pPr>
            <w:r w:rsidRPr="007A10A5">
              <w:rPr>
                <w:rFonts w:ascii="Arial Narrow" w:hAnsi="Arial Narrow"/>
                <w:color w:val="000000"/>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w:t>
            </w:r>
          </w:p>
        </w:tc>
      </w:tr>
      <w:tr w:rsidR="007A10A5" w:rsidRPr="007A10A5" w:rsidTr="002F2F7A">
        <w:trPr>
          <w:trHeight w:val="255"/>
        </w:trPr>
        <w:tc>
          <w:tcPr>
            <w:tcW w:w="3417"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b/>
                <w:bCs/>
                <w:i/>
                <w:iCs/>
                <w:color w:val="000000"/>
                <w:sz w:val="20"/>
                <w:szCs w:val="20"/>
              </w:rPr>
            </w:pPr>
            <w:r w:rsidRPr="007A10A5">
              <w:rPr>
                <w:rFonts w:ascii="Arial Narrow" w:hAnsi="Arial Narrow"/>
                <w:b/>
                <w:bCs/>
                <w:i/>
                <w:iCs/>
                <w:color w:val="000000"/>
                <w:sz w:val="20"/>
                <w:szCs w:val="20"/>
              </w:rPr>
              <w:t xml:space="preserve"> Expenses</w:t>
            </w:r>
            <w:r>
              <w:rPr>
                <w:rFonts w:ascii="Arial Narrow" w:hAnsi="Arial Narrow"/>
                <w:b/>
                <w:bCs/>
                <w:i/>
                <w:iCs/>
                <w:color w:val="000000"/>
                <w:sz w:val="20"/>
                <w:szCs w:val="20"/>
              </w:rPr>
              <w:t xml:space="preserve">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righ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righ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right"/>
              <w:rPr>
                <w:rFonts w:ascii="Arial Narrow" w:hAnsi="Arial Narrow"/>
                <w:b/>
                <w:bCs/>
                <w:i/>
                <w:iCs/>
                <w:color w:val="000000"/>
                <w:sz w:val="20"/>
                <w:szCs w:val="20"/>
              </w:rPr>
            </w:pPr>
            <w:r w:rsidRPr="007A10A5">
              <w:rPr>
                <w:rFonts w:ascii="Arial Narrow" w:hAnsi="Arial Narrow"/>
                <w:b/>
                <w:bCs/>
                <w:i/>
                <w:iCs/>
                <w:color w:val="000000"/>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i/>
                <w:iCs/>
                <w:color w:val="000000"/>
                <w:sz w:val="20"/>
                <w:szCs w:val="20"/>
              </w:rPr>
            </w:pPr>
            <w:r w:rsidRPr="007A10A5">
              <w:rPr>
                <w:rFonts w:ascii="Arial Narrow" w:hAnsi="Arial Narrow"/>
                <w:b/>
                <w:bCs/>
                <w:i/>
                <w:iCs/>
                <w:color w:val="000000"/>
                <w:sz w:val="20"/>
                <w:szCs w:val="20"/>
              </w:rPr>
              <w:t> </w:t>
            </w:r>
          </w:p>
        </w:tc>
      </w:tr>
      <w:tr w:rsidR="007A10A5" w:rsidRPr="007A10A5" w:rsidTr="002F2F7A">
        <w:trPr>
          <w:trHeight w:val="255"/>
        </w:trPr>
        <w:tc>
          <w:tcPr>
            <w:tcW w:w="3417"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Funding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color w:val="000000"/>
                <w:sz w:val="20"/>
                <w:szCs w:val="20"/>
              </w:rPr>
            </w:pPr>
            <w:r w:rsidRPr="007A10A5">
              <w:rPr>
                <w:rFonts w:ascii="Arial Narrow" w:hAnsi="Arial Narrow"/>
                <w:color w:val="000000"/>
                <w:sz w:val="20"/>
                <w:szCs w:val="20"/>
              </w:rPr>
              <w:t xml:space="preserve"> $</w:t>
            </w:r>
            <w:r>
              <w:rPr>
                <w:rFonts w:ascii="Arial Narrow" w:hAnsi="Arial Narrow"/>
                <w:color w:val="000000"/>
                <w:sz w:val="20"/>
                <w:szCs w:val="20"/>
              </w:rPr>
              <w:t xml:space="preserve"> </w:t>
            </w:r>
            <w:r w:rsidRPr="007A10A5">
              <w:rPr>
                <w:rFonts w:ascii="Arial Narrow" w:hAnsi="Arial Narrow"/>
                <w:color w:val="000000"/>
                <w:sz w:val="20"/>
                <w:szCs w:val="20"/>
              </w:rPr>
              <w:t>37,039,048</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color w:val="000000"/>
                <w:sz w:val="20"/>
                <w:szCs w:val="20"/>
              </w:rPr>
            </w:pPr>
            <w:r w:rsidRPr="007A10A5">
              <w:rPr>
                <w:rFonts w:ascii="Arial Narrow" w:hAnsi="Arial Narrow"/>
                <w:color w:val="000000"/>
                <w:sz w:val="20"/>
                <w:szCs w:val="20"/>
              </w:rPr>
              <w:t xml:space="preserve"> $</w:t>
            </w:r>
            <w:r>
              <w:rPr>
                <w:rFonts w:ascii="Arial Narrow" w:hAnsi="Arial Narrow"/>
                <w:color w:val="000000"/>
                <w:sz w:val="20"/>
                <w:szCs w:val="20"/>
              </w:rPr>
              <w:t xml:space="preserve"> </w:t>
            </w:r>
            <w:r w:rsidRPr="007A10A5">
              <w:rPr>
                <w:rFonts w:ascii="Arial Narrow" w:hAnsi="Arial Narrow"/>
                <w:color w:val="000000"/>
                <w:sz w:val="20"/>
                <w:szCs w:val="20"/>
              </w:rPr>
              <w:t>36,312,595</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 xml:space="preserve">36,936,309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623,713</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Capability building</w:t>
            </w:r>
            <w:r>
              <w:rPr>
                <w:rFonts w:ascii="Arial Narrow" w:hAnsi="Arial Narrow"/>
                <w:color w:val="000000"/>
                <w:sz w:val="20"/>
                <w:szCs w:val="20"/>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1,126,522</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1,750,180</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1,505,842</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244,338)</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Advocacy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363,278</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172,500</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132,631</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39,869)</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color w:val="000000"/>
                <w:sz w:val="20"/>
                <w:szCs w:val="20"/>
              </w:rPr>
            </w:pPr>
            <w:bookmarkStart w:id="64" w:name="RANGE!A12"/>
            <w:r w:rsidRPr="007A10A5">
              <w:rPr>
                <w:rFonts w:ascii="Arial Narrow" w:hAnsi="Arial Narrow"/>
                <w:b/>
                <w:bCs/>
                <w:color w:val="000000"/>
                <w:sz w:val="20"/>
                <w:szCs w:val="20"/>
              </w:rPr>
              <w:t xml:space="preserve"> Total Funding, Capability Building &amp; Advocacy </w:t>
            </w:r>
            <w:bookmarkEnd w:id="64"/>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38,528,848</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38,235,275</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38,574,782</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339,507</w:t>
            </w:r>
          </w:p>
        </w:tc>
      </w:tr>
      <w:tr w:rsidR="007A10A5" w:rsidRPr="007A10A5" w:rsidTr="002F2F7A">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20"/>
                <w:szCs w:val="20"/>
              </w:rPr>
            </w:pPr>
            <w:r w:rsidRPr="007A10A5">
              <w:rPr>
                <w:rFonts w:ascii="Arial Narrow" w:hAnsi="Arial Narrow"/>
                <w:color w:val="000000"/>
                <w:sz w:val="20"/>
                <w:szCs w:val="20"/>
              </w:rPr>
              <w:t xml:space="preserve"> Personnel and other operating expenses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8,838,513</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7,600,375</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7,264,058</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sz w:val="20"/>
                <w:szCs w:val="20"/>
              </w:rPr>
            </w:pPr>
            <w:r w:rsidRPr="007A10A5">
              <w:rPr>
                <w:rFonts w:ascii="Arial Narrow" w:hAnsi="Arial Narrow"/>
                <w:sz w:val="20"/>
                <w:szCs w:val="20"/>
              </w:rPr>
              <w:t xml:space="preserve"> ($</w:t>
            </w:r>
            <w:r>
              <w:rPr>
                <w:rFonts w:ascii="Arial Narrow" w:hAnsi="Arial Narrow"/>
                <w:sz w:val="20"/>
                <w:szCs w:val="20"/>
              </w:rPr>
              <w:t xml:space="preserve"> </w:t>
            </w:r>
            <w:r w:rsidRPr="007A10A5">
              <w:rPr>
                <w:rFonts w:ascii="Arial Narrow" w:hAnsi="Arial Narrow"/>
                <w:sz w:val="20"/>
                <w:szCs w:val="20"/>
              </w:rPr>
              <w:t>336,317)</w:t>
            </w:r>
          </w:p>
        </w:tc>
      </w:tr>
      <w:tr w:rsidR="007A10A5" w:rsidRPr="007A10A5" w:rsidTr="002F2F7A">
        <w:trPr>
          <w:trHeight w:val="255"/>
        </w:trPr>
        <w:tc>
          <w:tcPr>
            <w:tcW w:w="3417" w:type="dxa"/>
            <w:tcBorders>
              <w:top w:val="nil"/>
              <w:left w:val="single" w:sz="4" w:space="0" w:color="auto"/>
              <w:bottom w:val="nil"/>
              <w:right w:val="nil"/>
            </w:tcBorders>
            <w:shd w:val="clear" w:color="auto" w:fill="auto"/>
            <w:vAlign w:val="center"/>
            <w:hideMark/>
          </w:tcPr>
          <w:p w:rsidR="007A10A5" w:rsidRPr="007A10A5" w:rsidRDefault="007A10A5" w:rsidP="007A10A5">
            <w:pPr>
              <w:spacing w:before="0"/>
              <w:jc w:val="left"/>
              <w:rPr>
                <w:rFonts w:ascii="Arial Narrow" w:hAnsi="Arial Narrow"/>
                <w:b/>
                <w:bCs/>
                <w:sz w:val="20"/>
                <w:szCs w:val="20"/>
              </w:rPr>
            </w:pPr>
            <w:r w:rsidRPr="007A10A5">
              <w:rPr>
                <w:rFonts w:ascii="Arial Narrow" w:hAnsi="Arial Narrow"/>
                <w:b/>
                <w:bCs/>
                <w:sz w:val="20"/>
                <w:szCs w:val="20"/>
              </w:rPr>
              <w:t xml:space="preserve"> TOTAL EXPENDITURE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47,367,360</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45,835,650</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45,838,841</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3,190</w:t>
            </w:r>
          </w:p>
        </w:tc>
      </w:tr>
      <w:tr w:rsidR="007A10A5" w:rsidRPr="007A10A5" w:rsidTr="002F2F7A">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b/>
                <w:bCs/>
                <w:sz w:val="20"/>
                <w:szCs w:val="20"/>
              </w:rPr>
            </w:pPr>
            <w:r w:rsidRPr="007A10A5">
              <w:rPr>
                <w:rFonts w:ascii="Arial Narrow" w:hAnsi="Arial Narrow"/>
                <w:b/>
                <w:bCs/>
                <w:sz w:val="20"/>
                <w:szCs w:val="20"/>
              </w:rPr>
              <w:t xml:space="preserve"> NET SURPLUS/(DEFICIT) </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3,180,152)</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1,607,650)</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2,564,239</w:t>
            </w:r>
          </w:p>
        </w:tc>
        <w:tc>
          <w:tcPr>
            <w:tcW w:w="144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right"/>
              <w:rPr>
                <w:rFonts w:ascii="Arial Narrow" w:hAnsi="Arial Narrow"/>
                <w:b/>
                <w:bCs/>
                <w:sz w:val="20"/>
                <w:szCs w:val="20"/>
              </w:rPr>
            </w:pPr>
            <w:r w:rsidRPr="007A10A5">
              <w:rPr>
                <w:rFonts w:ascii="Arial Narrow" w:hAnsi="Arial Narrow"/>
                <w:b/>
                <w:bCs/>
                <w:sz w:val="20"/>
                <w:szCs w:val="20"/>
              </w:rPr>
              <w:t xml:space="preserve"> $</w:t>
            </w:r>
            <w:r>
              <w:rPr>
                <w:rFonts w:ascii="Arial Narrow" w:hAnsi="Arial Narrow"/>
                <w:b/>
                <w:bCs/>
                <w:sz w:val="20"/>
                <w:szCs w:val="20"/>
              </w:rPr>
              <w:t xml:space="preserve"> </w:t>
            </w:r>
            <w:r w:rsidRPr="007A10A5">
              <w:rPr>
                <w:rFonts w:ascii="Arial Narrow" w:hAnsi="Arial Narrow"/>
                <w:b/>
                <w:bCs/>
                <w:sz w:val="20"/>
                <w:szCs w:val="20"/>
              </w:rPr>
              <w:t>4,171,889</w:t>
            </w:r>
          </w:p>
        </w:tc>
      </w:tr>
    </w:tbl>
    <w:p w:rsidR="003027E3" w:rsidRPr="006552E9" w:rsidRDefault="003027E3" w:rsidP="00540BCE">
      <w:pPr>
        <w:pStyle w:val="Tabletext"/>
      </w:pPr>
    </w:p>
    <w:p w:rsidR="003027E3" w:rsidRPr="006552E9" w:rsidRDefault="003027E3" w:rsidP="003027E3"/>
    <w:p w:rsidR="003027E3" w:rsidRPr="006552E9" w:rsidRDefault="003027E3" w:rsidP="003027E3"/>
    <w:p w:rsidR="003027E3" w:rsidRPr="006552E9" w:rsidRDefault="003027E3" w:rsidP="003027E3">
      <w:pPr>
        <w:spacing w:before="120"/>
      </w:pPr>
    </w:p>
    <w:p w:rsidR="003027E3" w:rsidRPr="006552E9" w:rsidRDefault="003027E3" w:rsidP="003027E3">
      <w:pPr>
        <w:pStyle w:val="Heading2"/>
      </w:pPr>
      <w:r w:rsidRPr="006552E9">
        <w:br w:type="page"/>
      </w:r>
      <w:bookmarkStart w:id="65" w:name="_Toc373415036"/>
      <w:r w:rsidRPr="006552E9">
        <w:t>Output Area 1: Funding for artists, arts practitioners and arts organisations</w:t>
      </w:r>
      <w:bookmarkEnd w:id="65"/>
      <w:r w:rsidRPr="006552E9">
        <w:t xml:space="preserve"> </w:t>
      </w:r>
    </w:p>
    <w:p w:rsidR="003027E3" w:rsidRPr="006552E9" w:rsidRDefault="003027E3" w:rsidP="003027E3">
      <w:r w:rsidRPr="006552E9">
        <w:t>Creative New Zealand funding supports individual professional development opportunities, as well as the creation, presentation and distribution of art, across community and professional arts.</w:t>
      </w:r>
      <w:r w:rsidR="00175E6D" w:rsidRPr="006552E9">
        <w:t xml:space="preserve"> </w:t>
      </w:r>
      <w:r w:rsidRPr="006552E9">
        <w:t>We provide funding to artists, arts practitioners and arts organisations and their projects in the following ways:</w:t>
      </w:r>
    </w:p>
    <w:p w:rsidR="003027E3" w:rsidRPr="006552E9" w:rsidRDefault="003027E3" w:rsidP="003027E3">
      <w:pPr>
        <w:pStyle w:val="Bullet"/>
      </w:pPr>
      <w:r w:rsidRPr="006552E9">
        <w:t>multi-year funding for organisations through our investment programmes</w:t>
      </w:r>
    </w:p>
    <w:p w:rsidR="003027E3" w:rsidRPr="006552E9" w:rsidRDefault="003027E3" w:rsidP="003027E3">
      <w:pPr>
        <w:pStyle w:val="Bullet"/>
      </w:pPr>
      <w:r w:rsidRPr="006552E9">
        <w:t>as grants in response to applications that meet published criteria</w:t>
      </w:r>
    </w:p>
    <w:p w:rsidR="003027E3" w:rsidRPr="006552E9" w:rsidRDefault="003027E3" w:rsidP="003027E3">
      <w:pPr>
        <w:pStyle w:val="Bullet"/>
      </w:pPr>
      <w:r w:rsidRPr="006552E9">
        <w:t>through initiatives established in response to specific needs</w:t>
      </w:r>
    </w:p>
    <w:p w:rsidR="003027E3" w:rsidRPr="006552E9" w:rsidRDefault="003027E3" w:rsidP="003027E3">
      <w:pPr>
        <w:pStyle w:val="Bullet"/>
      </w:pPr>
      <w:r w:rsidRPr="006552E9">
        <w:t>by devolving funds to partners for them to distribute.</w:t>
      </w:r>
    </w:p>
    <w:p w:rsidR="003027E3" w:rsidRPr="006552E9" w:rsidRDefault="003027E3" w:rsidP="003027E3">
      <w:r w:rsidRPr="006552E9">
        <w:t xml:space="preserve">Creative New Zealand’s total expenditure for 2012/13 was $45.8 million, of which </w:t>
      </w:r>
      <w:r w:rsidR="00C6087F" w:rsidRPr="006552E9">
        <w:t xml:space="preserve">$36.9 </w:t>
      </w:r>
      <w:r w:rsidRPr="006552E9">
        <w:t>million (81 percent) was distributed to the community through funding.</w:t>
      </w:r>
      <w:r w:rsidR="00175E6D" w:rsidRPr="006552E9">
        <w:t xml:space="preserve"> </w:t>
      </w:r>
    </w:p>
    <w:p w:rsidR="003027E3" w:rsidRPr="006552E9" w:rsidRDefault="003027E3" w:rsidP="003027E3">
      <w:r w:rsidRPr="006552E9">
        <w:t xml:space="preserve">The four </w:t>
      </w:r>
      <w:r w:rsidR="00D2587F">
        <w:t>main</w:t>
      </w:r>
      <w:r w:rsidRPr="006552E9">
        <w:t xml:space="preserve"> funding programmes are: </w:t>
      </w:r>
    </w:p>
    <w:p w:rsidR="003027E3" w:rsidRPr="006552E9" w:rsidRDefault="003027E3" w:rsidP="003027E3">
      <w:pPr>
        <w:pStyle w:val="Bullet"/>
      </w:pPr>
      <w:r w:rsidRPr="006552E9">
        <w:t>Investment programmes (formerly the Recurrent Funding programme)</w:t>
      </w:r>
    </w:p>
    <w:p w:rsidR="003027E3" w:rsidRPr="006552E9" w:rsidRDefault="003027E3" w:rsidP="003027E3">
      <w:pPr>
        <w:pStyle w:val="Bullet"/>
      </w:pPr>
      <w:r w:rsidRPr="006552E9">
        <w:t>Grants funding (formerly the Contestable Funding programme)</w:t>
      </w:r>
    </w:p>
    <w:p w:rsidR="003027E3" w:rsidRPr="006552E9" w:rsidRDefault="003027E3" w:rsidP="003027E3">
      <w:pPr>
        <w:pStyle w:val="Bullet"/>
      </w:pPr>
      <w:r w:rsidRPr="006552E9">
        <w:t>Creative Communities Scheme</w:t>
      </w:r>
    </w:p>
    <w:p w:rsidR="003027E3" w:rsidRPr="006552E9" w:rsidRDefault="003027E3" w:rsidP="003027E3">
      <w:pPr>
        <w:pStyle w:val="Bullet"/>
      </w:pPr>
      <w:r w:rsidRPr="006552E9">
        <w:t xml:space="preserve">International </w:t>
      </w:r>
      <w:r w:rsidR="00AE344D">
        <w:t>presentation and events</w:t>
      </w:r>
      <w:r w:rsidRPr="006552E9">
        <w:t>.</w:t>
      </w:r>
    </w:p>
    <w:p w:rsidR="003027E3" w:rsidRPr="006552E9" w:rsidRDefault="003027E3" w:rsidP="003027E3">
      <w:r w:rsidRPr="006552E9">
        <w:t xml:space="preserve">Detailed information on all of the funding programmes is available in the </w:t>
      </w:r>
      <w:r w:rsidRPr="006552E9">
        <w:rPr>
          <w:i/>
        </w:rPr>
        <w:t>Funding and Programmes Guide</w:t>
      </w:r>
      <w:r w:rsidRPr="006552E9">
        <w:t>, which is published annually.</w:t>
      </w:r>
      <w:r w:rsidRPr="006552E9">
        <w:rPr>
          <w:rStyle w:val="FootnoteReference"/>
        </w:rPr>
        <w:footnoteReference w:id="19"/>
      </w:r>
      <w:r w:rsidRPr="006552E9">
        <w:t xml:space="preserve"> </w:t>
      </w:r>
    </w:p>
    <w:p w:rsidR="003027E3" w:rsidRPr="006552E9" w:rsidRDefault="003027E3" w:rsidP="003027E3">
      <w:pPr>
        <w:pStyle w:val="Heading3"/>
      </w:pPr>
      <w:bookmarkStart w:id="66" w:name="_Toc373415037"/>
      <w:r w:rsidRPr="006552E9">
        <w:t>Investment programmes</w:t>
      </w:r>
      <w:bookmarkEnd w:id="66"/>
    </w:p>
    <w:p w:rsidR="003027E3" w:rsidRPr="006552E9" w:rsidRDefault="003027E3" w:rsidP="003027E3">
      <w:r w:rsidRPr="006552E9">
        <w:t>Creative New Zealand’s Investment programmes – the Arts Leadership Investment (Toi Tōtara Haemata) and Arts Development Investment (Toi Uru Kahikatea) programmes, referred to as the Tōtara and Kahikatea programmes respectively – were implemented from 1 January 2012, replacing the previous Recurrent Funding programme.</w:t>
      </w:r>
      <w:r w:rsidRPr="006552E9">
        <w:rPr>
          <w:rStyle w:val="FootnoteReference"/>
        </w:rPr>
        <w:footnoteReference w:id="20"/>
      </w:r>
      <w:r w:rsidRPr="006552E9">
        <w:t xml:space="preserve"> </w:t>
      </w:r>
    </w:p>
    <w:p w:rsidR="003027E3" w:rsidRPr="006552E9" w:rsidRDefault="003027E3" w:rsidP="003027E3">
      <w:r w:rsidRPr="006552E9">
        <w:t xml:space="preserve">The Tōtara and Kahikatea programmes support the development of a sustainable infrastructure in the arts sector by funding key arts organisations for a </w:t>
      </w:r>
      <w:r w:rsidR="00A72BA6">
        <w:t>fixed</w:t>
      </w:r>
      <w:r w:rsidR="00FF6A9F">
        <w:t xml:space="preserve"> </w:t>
      </w:r>
      <w:r w:rsidR="00A72BA6">
        <w:t>term</w:t>
      </w:r>
      <w:r w:rsidRPr="006552E9">
        <w:t>.</w:t>
      </w:r>
      <w:r w:rsidR="00175E6D" w:rsidRPr="006552E9">
        <w:t xml:space="preserve"> </w:t>
      </w:r>
      <w:r w:rsidRPr="006552E9">
        <w:t>With such support, organisations are able to plan their programmes of activity.</w:t>
      </w:r>
    </w:p>
    <w:p w:rsidR="003027E3" w:rsidRPr="006552E9" w:rsidRDefault="003027E3" w:rsidP="003027E3">
      <w:pPr>
        <w:pStyle w:val="Bullet"/>
      </w:pPr>
      <w:r w:rsidRPr="006552E9">
        <w:t>Tōtara organisations fulfil specific key roles that Creative New Zealand has identified as important to the health of the arts sector.</w:t>
      </w:r>
      <w:r w:rsidR="00175E6D" w:rsidRPr="006552E9">
        <w:t xml:space="preserve"> </w:t>
      </w:r>
      <w:r w:rsidRPr="006552E9">
        <w:t>They provide leadership and play an active role in promoting collaboration, developing talent, fostering new work, supporting innovation and taking artistic risks.</w:t>
      </w:r>
      <w:r w:rsidR="00175E6D" w:rsidRPr="006552E9">
        <w:t xml:space="preserve"> </w:t>
      </w:r>
      <w:r w:rsidRPr="006552E9">
        <w:t>Funding can be committed to Tōtara organisations for periods of up to five years.</w:t>
      </w:r>
    </w:p>
    <w:p w:rsidR="003027E3" w:rsidRPr="006552E9" w:rsidRDefault="003027E3" w:rsidP="003027E3">
      <w:pPr>
        <w:pStyle w:val="Bullet"/>
      </w:pPr>
      <w:r w:rsidRPr="006552E9">
        <w:t>Kahikatea organisations have more flexibility in what they are funded to deliver.</w:t>
      </w:r>
      <w:r w:rsidR="00175E6D" w:rsidRPr="006552E9">
        <w:t xml:space="preserve"> </w:t>
      </w:r>
      <w:r w:rsidRPr="006552E9">
        <w:t>They can have funding committed to them for periods of up to three years.</w:t>
      </w:r>
    </w:p>
    <w:p w:rsidR="003027E3" w:rsidRPr="006552E9" w:rsidRDefault="003027E3" w:rsidP="003027E3">
      <w:r w:rsidRPr="006552E9">
        <w:t>The membership of the Tōtara and Kahikatea programmes is expected to change over time as organisations develop and the needs of the arts sector change.</w:t>
      </w:r>
      <w:r w:rsidR="00175E6D" w:rsidRPr="006552E9">
        <w:t xml:space="preserve"> </w:t>
      </w:r>
      <w:r w:rsidRPr="006552E9">
        <w:t xml:space="preserve">Creative New Zealand aims to review </w:t>
      </w:r>
      <w:r w:rsidR="00B1339A" w:rsidRPr="006552E9">
        <w:t xml:space="preserve">Tōtara </w:t>
      </w:r>
      <w:r w:rsidRPr="006552E9">
        <w:t>key roles for each artform every five years.</w:t>
      </w:r>
    </w:p>
    <w:p w:rsidR="003027E3" w:rsidRPr="006552E9" w:rsidRDefault="003027E3" w:rsidP="003027E3">
      <w:r w:rsidRPr="006552E9">
        <w:t>Throughout the year, Creative New Zealand regularly monitors the performance of Tōtara and Kahikatea organisations against their funding agreements and works with them to improve their performance.</w:t>
      </w:r>
      <w:r w:rsidR="00175E6D" w:rsidRPr="006552E9">
        <w:t xml:space="preserve"> </w:t>
      </w:r>
      <w:r w:rsidRPr="006552E9">
        <w:t>Organisations are assessed against the expectations of their funding agreements in four component areas (artistic, financial, organisation, audience), plus a summary assessment</w:t>
      </w:r>
      <w:r w:rsidRPr="006552E9">
        <w:rPr>
          <w:rFonts w:ascii="National-Light" w:hAnsi="National-Light" w:cs="National-Light"/>
          <w:sz w:val="20"/>
          <w:szCs w:val="20"/>
        </w:rPr>
        <w:t>.</w:t>
      </w:r>
    </w:p>
    <w:p w:rsidR="003027E3" w:rsidRPr="006552E9" w:rsidRDefault="003027E3" w:rsidP="003027E3">
      <w:r w:rsidRPr="006552E9">
        <w:t xml:space="preserve">The Investment programmes support </w:t>
      </w:r>
      <w:r w:rsidRPr="006552E9">
        <w:rPr>
          <w:b/>
        </w:rPr>
        <w:t>all four outcomes</w:t>
      </w:r>
      <w:r w:rsidRPr="006552E9">
        <w:t>.</w:t>
      </w:r>
      <w:r w:rsidR="00175E6D" w:rsidRPr="006552E9">
        <w:t xml:space="preserve"> </w:t>
      </w:r>
    </w:p>
    <w:p w:rsidR="003027E3" w:rsidRPr="006552E9" w:rsidRDefault="003027E3" w:rsidP="003027E3">
      <w:pPr>
        <w:spacing w:before="0"/>
      </w:pPr>
    </w:p>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7</w:t>
      </w:r>
      <w:r w:rsidR="006E1B57" w:rsidRPr="006552E9">
        <w:fldChar w:fldCharType="end"/>
      </w:r>
      <w:r w:rsidRPr="006552E9">
        <w:t>: Proof of performance, Investment programmes, 2009/10 to 2012/13</w:t>
      </w:r>
      <w:r w:rsidRPr="006552E9">
        <w:rPr>
          <w:rStyle w:val="FootnoteReference"/>
        </w:rPr>
        <w:footnoteReference w:id="21"/>
      </w:r>
    </w:p>
    <w:tbl>
      <w:tblPr>
        <w:tblW w:w="9298" w:type="dxa"/>
        <w:tblInd w:w="93" w:type="dxa"/>
        <w:tblCellMar>
          <w:top w:w="28" w:type="dxa"/>
          <w:left w:w="57" w:type="dxa"/>
          <w:bottom w:w="28" w:type="dxa"/>
          <w:right w:w="57" w:type="dxa"/>
        </w:tblCellMar>
        <w:tblLook w:val="04A0" w:firstRow="1" w:lastRow="0" w:firstColumn="1" w:lastColumn="0" w:noHBand="0" w:noVBand="1"/>
      </w:tblPr>
      <w:tblGrid>
        <w:gridCol w:w="1928"/>
        <w:gridCol w:w="1020"/>
        <w:gridCol w:w="1020"/>
        <w:gridCol w:w="1021"/>
        <w:gridCol w:w="1020"/>
        <w:gridCol w:w="1020"/>
        <w:gridCol w:w="850"/>
        <w:gridCol w:w="1419"/>
      </w:tblGrid>
      <w:tr w:rsidR="00D12E32" w:rsidRPr="007A10A5" w:rsidTr="002F2F7A">
        <w:trPr>
          <w:trHeight w:val="255"/>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xml:space="preserve">Past </w:t>
            </w:r>
            <w:r w:rsidR="00A513D3" w:rsidRPr="007A10A5">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xml:space="preserve">Current </w:t>
            </w:r>
            <w:r w:rsidR="00A513D3" w:rsidRPr="007A10A5">
              <w:rPr>
                <w:rFonts w:ascii="Arial Narrow" w:hAnsi="Arial Narrow"/>
                <w:b/>
                <w:bCs/>
                <w:color w:val="000000"/>
                <w:sz w:val="18"/>
                <w:szCs w:val="18"/>
              </w:rPr>
              <w:t>performance</w:t>
            </w:r>
          </w:p>
        </w:tc>
      </w:tr>
      <w:tr w:rsidR="00D12E32" w:rsidRPr="007A10A5" w:rsidTr="00D12E32">
        <w:trPr>
          <w:trHeight w:val="765"/>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7A10A5" w:rsidRPr="007A10A5" w:rsidRDefault="007A10A5" w:rsidP="007A10A5">
            <w:pPr>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2009/10 Actual</w:t>
            </w:r>
          </w:p>
        </w:tc>
        <w:tc>
          <w:tcPr>
            <w:tcW w:w="1020" w:type="dxa"/>
            <w:tcBorders>
              <w:top w:val="nil"/>
              <w:left w:val="nil"/>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2010/11 Actual</w:t>
            </w:r>
          </w:p>
        </w:tc>
        <w:tc>
          <w:tcPr>
            <w:tcW w:w="1021" w:type="dxa"/>
            <w:tcBorders>
              <w:top w:val="nil"/>
              <w:left w:val="nil"/>
              <w:bottom w:val="single" w:sz="4" w:space="0" w:color="auto"/>
              <w:right w:val="nil"/>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xml:space="preserve">2011/12 Actual </w:t>
            </w:r>
          </w:p>
        </w:tc>
        <w:tc>
          <w:tcPr>
            <w:tcW w:w="1020" w:type="dxa"/>
            <w:tcBorders>
              <w:top w:val="nil"/>
              <w:left w:val="single" w:sz="4" w:space="0" w:color="auto"/>
              <w:bottom w:val="single" w:sz="4" w:space="0" w:color="auto"/>
              <w:right w:val="single" w:sz="4" w:space="0" w:color="auto"/>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xml:space="preserve">2012/13 Actual </w:t>
            </w:r>
            <w:r w:rsidR="00A513D3" w:rsidRPr="007A10A5">
              <w:rPr>
                <w:rFonts w:ascii="Arial Narrow" w:hAnsi="Arial Narrow"/>
                <w:b/>
                <w:bCs/>
                <w:color w:val="000000"/>
                <w:sz w:val="18"/>
                <w:szCs w:val="18"/>
              </w:rPr>
              <w:t>year to dat</w:t>
            </w:r>
            <w:r w:rsidRPr="007A10A5">
              <w:rPr>
                <w:rFonts w:ascii="Arial Narrow" w:hAnsi="Arial Narrow"/>
                <w:b/>
                <w:bCs/>
                <w:color w:val="000000"/>
                <w:sz w:val="18"/>
                <w:szCs w:val="18"/>
              </w:rPr>
              <w:t>e</w:t>
            </w:r>
          </w:p>
        </w:tc>
        <w:tc>
          <w:tcPr>
            <w:tcW w:w="850" w:type="dxa"/>
            <w:tcBorders>
              <w:top w:val="nil"/>
              <w:left w:val="single" w:sz="4" w:space="0" w:color="auto"/>
              <w:bottom w:val="nil"/>
              <w:right w:val="single" w:sz="4" w:space="0" w:color="auto"/>
            </w:tcBorders>
            <w:shd w:val="clear" w:color="000000" w:fill="B8CCE4"/>
            <w:vAlign w:val="center"/>
            <w:hideMark/>
          </w:tcPr>
          <w:p w:rsidR="007A10A5" w:rsidRPr="007A10A5" w:rsidRDefault="007A10A5" w:rsidP="00A513D3">
            <w:pPr>
              <w:spacing w:before="0"/>
              <w:jc w:val="center"/>
              <w:rPr>
                <w:rFonts w:ascii="Arial Narrow" w:hAnsi="Arial Narrow"/>
                <w:b/>
                <w:bCs/>
                <w:color w:val="000000"/>
                <w:sz w:val="18"/>
                <w:szCs w:val="18"/>
              </w:rPr>
            </w:pPr>
            <w:r w:rsidRPr="007A10A5">
              <w:rPr>
                <w:rFonts w:ascii="Arial Narrow" w:hAnsi="Arial Narrow"/>
                <w:b/>
                <w:bCs/>
                <w:color w:val="000000"/>
                <w:sz w:val="18"/>
                <w:szCs w:val="18"/>
              </w:rPr>
              <w:t xml:space="preserve">Variance to </w:t>
            </w:r>
            <w:r w:rsidR="00A513D3" w:rsidRPr="007A10A5">
              <w:rPr>
                <w:rFonts w:ascii="Arial Narrow" w:hAnsi="Arial Narrow"/>
                <w:b/>
                <w:bCs/>
                <w:color w:val="000000"/>
                <w:sz w:val="18"/>
                <w:szCs w:val="18"/>
              </w:rPr>
              <w:t xml:space="preserve">forecast </w:t>
            </w:r>
            <w:r w:rsidRPr="007A10A5">
              <w:rPr>
                <w:rFonts w:ascii="Arial Narrow" w:hAnsi="Arial Narrow"/>
                <w:b/>
                <w:bCs/>
                <w:color w:val="000000"/>
                <w:sz w:val="18"/>
                <w:szCs w:val="18"/>
              </w:rPr>
              <w:br/>
              <w:t>(+/</w:t>
            </w:r>
            <w:r w:rsidR="00A513D3">
              <w:rPr>
                <w:rFonts w:ascii="Arial Narrow" w:hAnsi="Arial Narrow"/>
                <w:b/>
                <w:bCs/>
                <w:color w:val="000000"/>
                <w:sz w:val="18"/>
                <w:szCs w:val="18"/>
              </w:rPr>
              <w:t>–</w:t>
            </w:r>
            <w:r w:rsidRPr="007A10A5">
              <w:rPr>
                <w:rFonts w:ascii="Arial Narrow" w:hAnsi="Arial Narrow"/>
                <w:b/>
                <w:bCs/>
                <w:color w:val="000000"/>
                <w:sz w:val="18"/>
                <w:szCs w:val="18"/>
              </w:rPr>
              <w:t>%)</w:t>
            </w:r>
          </w:p>
        </w:tc>
        <w:tc>
          <w:tcPr>
            <w:tcW w:w="1419" w:type="dxa"/>
            <w:tcBorders>
              <w:top w:val="nil"/>
              <w:left w:val="nil"/>
              <w:bottom w:val="nil"/>
              <w:right w:val="single" w:sz="4" w:space="0" w:color="auto"/>
            </w:tcBorders>
            <w:shd w:val="clear" w:color="000000" w:fill="B8CCE4"/>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Notes</w:t>
            </w:r>
          </w:p>
        </w:tc>
      </w:tr>
      <w:tr w:rsidR="00D12E32" w:rsidRPr="007A10A5" w:rsidTr="00D12E32">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Expenditure</w:t>
            </w:r>
          </w:p>
        </w:tc>
        <w:tc>
          <w:tcPr>
            <w:tcW w:w="1020" w:type="dxa"/>
            <w:tcBorders>
              <w:top w:val="nil"/>
              <w:left w:val="nil"/>
              <w:bottom w:val="nil"/>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bottom"/>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w:t>
            </w:r>
          </w:p>
        </w:tc>
        <w:tc>
          <w:tcPr>
            <w:tcW w:w="1021" w:type="dxa"/>
            <w:tcBorders>
              <w:top w:val="nil"/>
              <w:left w:val="nil"/>
              <w:bottom w:val="nil"/>
              <w:right w:val="nil"/>
            </w:tcBorders>
            <w:shd w:val="clear" w:color="000000" w:fill="DCE6F1"/>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nil"/>
              <w:right w:val="nil"/>
            </w:tcBorders>
            <w:shd w:val="clear" w:color="000000" w:fill="DCE6F1"/>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nil"/>
              <w:right w:val="nil"/>
            </w:tcBorders>
            <w:shd w:val="clear" w:color="000000" w:fill="DCE6F1"/>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c>
          <w:tcPr>
            <w:tcW w:w="1419" w:type="dxa"/>
            <w:tcBorders>
              <w:top w:val="single" w:sz="4" w:space="0" w:color="auto"/>
              <w:left w:val="nil"/>
              <w:bottom w:val="single" w:sz="4" w:space="0" w:color="auto"/>
              <w:right w:val="single" w:sz="4" w:space="0" w:color="auto"/>
            </w:tcBorders>
            <w:shd w:val="clear" w:color="000000" w:fill="DCE6F1"/>
            <w:vAlign w:val="center"/>
            <w:hideMark/>
          </w:tcPr>
          <w:p w:rsidR="007A10A5" w:rsidRPr="007A10A5" w:rsidRDefault="007A10A5" w:rsidP="007A10A5">
            <w:pPr>
              <w:spacing w:before="0"/>
              <w:jc w:val="center"/>
              <w:rPr>
                <w:rFonts w:ascii="Arial Narrow" w:hAnsi="Arial Narrow"/>
                <w:b/>
                <w:bCs/>
                <w:color w:val="000000"/>
                <w:sz w:val="18"/>
                <w:szCs w:val="18"/>
              </w:rPr>
            </w:pPr>
            <w:r w:rsidRPr="007A10A5">
              <w:rPr>
                <w:rFonts w:ascii="Arial Narrow" w:hAnsi="Arial Narrow"/>
                <w:b/>
                <w:bCs/>
                <w:color w:val="000000"/>
                <w:sz w:val="18"/>
                <w:szCs w:val="18"/>
              </w:rPr>
              <w:t> </w:t>
            </w:r>
          </w:p>
        </w:tc>
      </w:tr>
      <w:tr w:rsidR="00D12E32" w:rsidRPr="007A10A5" w:rsidTr="00B31EC7">
        <w:tc>
          <w:tcPr>
            <w:tcW w:w="1928"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Total expenditure</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A5" w:rsidRPr="007A10A5" w:rsidRDefault="007A10A5" w:rsidP="00D12E32">
            <w:pPr>
              <w:spacing w:before="0"/>
              <w:jc w:val="left"/>
              <w:rPr>
                <w:rFonts w:ascii="Arial Narrow" w:hAnsi="Arial Narrow"/>
                <w:color w:val="000000"/>
                <w:sz w:val="18"/>
                <w:szCs w:val="18"/>
              </w:rPr>
            </w:pPr>
            <w:r w:rsidRPr="007A10A5">
              <w:rPr>
                <w:rFonts w:ascii="Arial Narrow" w:hAnsi="Arial Narrow"/>
                <w:color w:val="000000"/>
                <w:sz w:val="18"/>
                <w:szCs w:val="18"/>
              </w:rPr>
              <w:t>$</w:t>
            </w:r>
            <w:r w:rsidRPr="00D12E32">
              <w:rPr>
                <w:rFonts w:ascii="Arial Narrow" w:hAnsi="Arial Narrow"/>
                <w:color w:val="000000"/>
                <w:sz w:val="18"/>
                <w:szCs w:val="18"/>
              </w:rPr>
              <w:t xml:space="preserve"> </w:t>
            </w:r>
            <w:r w:rsidRPr="007A10A5">
              <w:rPr>
                <w:rFonts w:ascii="Arial Narrow" w:hAnsi="Arial Narrow"/>
                <w:color w:val="000000"/>
                <w:sz w:val="18"/>
                <w:szCs w:val="18"/>
              </w:rPr>
              <w:t>18,320,001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A10A5" w:rsidRPr="007A10A5" w:rsidRDefault="007A10A5" w:rsidP="00D12E32">
            <w:pPr>
              <w:spacing w:before="0"/>
              <w:jc w:val="center"/>
              <w:rPr>
                <w:rFonts w:ascii="Arial Narrow" w:hAnsi="Arial Narrow"/>
                <w:color w:val="000000"/>
                <w:sz w:val="18"/>
                <w:szCs w:val="18"/>
              </w:rPr>
            </w:pPr>
            <w:r w:rsidRPr="007A10A5">
              <w:rPr>
                <w:rFonts w:ascii="Arial Narrow" w:hAnsi="Arial Narrow"/>
                <w:color w:val="000000"/>
                <w:sz w:val="18"/>
                <w:szCs w:val="18"/>
              </w:rPr>
              <w:t>$</w:t>
            </w:r>
            <w:r w:rsidRPr="00D12E32">
              <w:rPr>
                <w:rFonts w:ascii="Arial Narrow" w:hAnsi="Arial Narrow"/>
                <w:color w:val="000000"/>
                <w:sz w:val="18"/>
                <w:szCs w:val="18"/>
              </w:rPr>
              <w:t xml:space="preserve"> </w:t>
            </w:r>
            <w:r w:rsidRPr="007A10A5">
              <w:rPr>
                <w:rFonts w:ascii="Arial Narrow" w:hAnsi="Arial Narrow"/>
                <w:color w:val="000000"/>
                <w:sz w:val="18"/>
                <w:szCs w:val="18"/>
              </w:rPr>
              <w:t>17,451,009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A10A5" w:rsidRPr="007A10A5" w:rsidRDefault="007A10A5" w:rsidP="00D12E32">
            <w:pPr>
              <w:spacing w:before="0"/>
              <w:jc w:val="center"/>
              <w:rPr>
                <w:rFonts w:ascii="Arial Narrow" w:hAnsi="Arial Narrow"/>
                <w:color w:val="000000"/>
                <w:sz w:val="18"/>
                <w:szCs w:val="18"/>
              </w:rPr>
            </w:pPr>
            <w:r w:rsidRPr="007A10A5">
              <w:rPr>
                <w:rFonts w:ascii="Arial Narrow" w:hAnsi="Arial Narrow"/>
                <w:color w:val="000000"/>
                <w:sz w:val="18"/>
                <w:szCs w:val="18"/>
              </w:rPr>
              <w:t>$</w:t>
            </w:r>
            <w:r w:rsidRPr="00D12E32">
              <w:rPr>
                <w:rFonts w:ascii="Arial Narrow" w:hAnsi="Arial Narrow"/>
                <w:color w:val="000000"/>
                <w:sz w:val="18"/>
                <w:szCs w:val="18"/>
              </w:rPr>
              <w:t xml:space="preserve"> </w:t>
            </w:r>
            <w:r w:rsidRPr="007A10A5">
              <w:rPr>
                <w:rFonts w:ascii="Arial Narrow" w:hAnsi="Arial Narrow"/>
                <w:color w:val="000000"/>
                <w:sz w:val="18"/>
                <w:szCs w:val="18"/>
              </w:rPr>
              <w:t>22,591,958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A10A5" w:rsidRPr="007A10A5" w:rsidRDefault="007A10A5" w:rsidP="00D12E32">
            <w:pPr>
              <w:spacing w:before="0"/>
              <w:jc w:val="center"/>
              <w:rPr>
                <w:rFonts w:ascii="Arial Narrow" w:hAnsi="Arial Narrow"/>
                <w:color w:val="000000"/>
                <w:sz w:val="18"/>
                <w:szCs w:val="18"/>
              </w:rPr>
            </w:pPr>
            <w:r w:rsidRPr="007A10A5">
              <w:rPr>
                <w:rFonts w:ascii="Arial Narrow" w:hAnsi="Arial Narrow"/>
                <w:color w:val="000000"/>
                <w:sz w:val="18"/>
                <w:szCs w:val="18"/>
              </w:rPr>
              <w:t>$</w:t>
            </w:r>
            <w:r w:rsidRPr="00D12E32">
              <w:rPr>
                <w:rFonts w:ascii="Arial Narrow" w:hAnsi="Arial Narrow"/>
                <w:color w:val="000000"/>
                <w:sz w:val="18"/>
                <w:szCs w:val="18"/>
              </w:rPr>
              <w:t xml:space="preserve"> </w:t>
            </w:r>
            <w:r w:rsidRPr="007A10A5">
              <w:rPr>
                <w:rFonts w:ascii="Arial Narrow" w:hAnsi="Arial Narrow"/>
                <w:color w:val="000000"/>
                <w:sz w:val="18"/>
                <w:szCs w:val="18"/>
              </w:rPr>
              <w:t>22,970,600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A10A5" w:rsidRPr="007A10A5" w:rsidRDefault="007A10A5" w:rsidP="00D12E32">
            <w:pPr>
              <w:spacing w:before="0"/>
              <w:jc w:val="center"/>
              <w:rPr>
                <w:rFonts w:ascii="Arial Narrow" w:hAnsi="Arial Narrow"/>
                <w:color w:val="000000"/>
                <w:sz w:val="18"/>
                <w:szCs w:val="18"/>
              </w:rPr>
            </w:pPr>
            <w:r w:rsidRPr="007A10A5">
              <w:rPr>
                <w:rFonts w:ascii="Arial Narrow" w:hAnsi="Arial Narrow"/>
                <w:color w:val="000000"/>
                <w:sz w:val="18"/>
                <w:szCs w:val="18"/>
              </w:rPr>
              <w:t>$</w:t>
            </w:r>
            <w:r w:rsidRPr="00D12E32">
              <w:rPr>
                <w:rFonts w:ascii="Arial Narrow" w:hAnsi="Arial Narrow"/>
                <w:color w:val="000000"/>
                <w:sz w:val="18"/>
                <w:szCs w:val="18"/>
              </w:rPr>
              <w:t xml:space="preserve"> </w:t>
            </w:r>
            <w:r w:rsidRPr="007A10A5">
              <w:rPr>
                <w:rFonts w:ascii="Arial Narrow" w:hAnsi="Arial Narrow"/>
                <w:color w:val="000000"/>
                <w:sz w:val="18"/>
                <w:szCs w:val="18"/>
              </w:rPr>
              <w:t>23,599,053</w:t>
            </w:r>
          </w:p>
        </w:tc>
        <w:tc>
          <w:tcPr>
            <w:tcW w:w="850" w:type="dxa"/>
            <w:tcBorders>
              <w:top w:val="nil"/>
              <w:left w:val="nil"/>
              <w:bottom w:val="nil"/>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3%</w:t>
            </w:r>
          </w:p>
        </w:tc>
        <w:tc>
          <w:tcPr>
            <w:tcW w:w="1419" w:type="dxa"/>
            <w:tcBorders>
              <w:top w:val="nil"/>
              <w:left w:val="nil"/>
              <w:bottom w:val="single" w:sz="4" w:space="0" w:color="auto"/>
              <w:right w:val="single" w:sz="4" w:space="0" w:color="auto"/>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Forecast met</w:t>
            </w:r>
          </w:p>
        </w:tc>
      </w:tr>
      <w:tr w:rsidR="00D12E32" w:rsidRPr="007A10A5" w:rsidTr="00D12E32">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xml:space="preserve">Quantity </w:t>
            </w:r>
          </w:p>
        </w:tc>
        <w:tc>
          <w:tcPr>
            <w:tcW w:w="1020" w:type="dxa"/>
            <w:tcBorders>
              <w:top w:val="nil"/>
              <w:left w:val="nil"/>
              <w:bottom w:val="nil"/>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bottom"/>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419" w:type="dxa"/>
            <w:tcBorders>
              <w:top w:val="nil"/>
              <w:left w:val="nil"/>
              <w:bottom w:val="single" w:sz="4" w:space="0" w:color="auto"/>
              <w:right w:val="single" w:sz="4" w:space="0" w:color="auto"/>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r>
      <w:tr w:rsidR="00D12E32" w:rsidRPr="007A10A5" w:rsidTr="00B31EC7">
        <w:tc>
          <w:tcPr>
            <w:tcW w:w="1928"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xml:space="preserve">Number of organisations funded through Recurrent Funding </w:t>
            </w:r>
            <w:r w:rsidRPr="007A10A5">
              <w:rPr>
                <w:rFonts w:ascii="Arial Narrow" w:hAnsi="Arial Narrow"/>
                <w:color w:val="000000"/>
                <w:sz w:val="18"/>
                <w:szCs w:val="18"/>
              </w:rPr>
              <w:br/>
              <w:t>(to 31 December 2011 only)</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35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34</w:t>
            </w:r>
          </w:p>
        </w:tc>
        <w:tc>
          <w:tcPr>
            <w:tcW w:w="1021"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34</w:t>
            </w:r>
          </w:p>
        </w:tc>
        <w:tc>
          <w:tcPr>
            <w:tcW w:w="4309" w:type="dxa"/>
            <w:gridSpan w:val="4"/>
            <w:tcBorders>
              <w:top w:val="single" w:sz="4" w:space="0" w:color="auto"/>
              <w:left w:val="nil"/>
              <w:bottom w:val="single" w:sz="4" w:space="0" w:color="auto"/>
              <w:right w:val="single" w:sz="4" w:space="0" w:color="000000"/>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N/A</w:t>
            </w:r>
            <w:r w:rsidR="00C02722">
              <w:rPr>
                <w:rFonts w:ascii="Arial Narrow" w:hAnsi="Arial Narrow"/>
                <w:color w:val="000000"/>
                <w:sz w:val="18"/>
                <w:szCs w:val="18"/>
              </w:rPr>
              <w:t xml:space="preserve"> </w:t>
            </w:r>
            <w:r w:rsidR="00877D63">
              <w:rPr>
                <w:rFonts w:ascii="Arial Narrow" w:hAnsi="Arial Narrow"/>
                <w:color w:val="000000"/>
                <w:sz w:val="18"/>
                <w:szCs w:val="18"/>
              </w:rPr>
              <w:t>–</w:t>
            </w:r>
            <w:r w:rsidRPr="007A10A5">
              <w:rPr>
                <w:rFonts w:ascii="Arial Narrow" w:hAnsi="Arial Narrow"/>
                <w:color w:val="000000"/>
                <w:sz w:val="18"/>
                <w:szCs w:val="18"/>
              </w:rPr>
              <w:t xml:space="preserve"> programme ceased 31 December 2011.</w:t>
            </w:r>
            <w:r w:rsidRPr="00D12E32">
              <w:rPr>
                <w:rFonts w:ascii="Arial Narrow" w:hAnsi="Arial Narrow"/>
                <w:color w:val="000000"/>
                <w:sz w:val="18"/>
                <w:szCs w:val="18"/>
              </w:rPr>
              <w:t xml:space="preserve"> </w:t>
            </w:r>
            <w:r w:rsidRPr="007A10A5">
              <w:rPr>
                <w:rFonts w:ascii="Arial Narrow" w:hAnsi="Arial Narrow"/>
                <w:color w:val="000000"/>
                <w:sz w:val="18"/>
                <w:szCs w:val="18"/>
              </w:rPr>
              <w:t>Included only for trend information</w:t>
            </w:r>
          </w:p>
        </w:tc>
      </w:tr>
      <w:tr w:rsidR="00D12E32" w:rsidRPr="007A10A5" w:rsidTr="00B31EC7">
        <w:tc>
          <w:tcPr>
            <w:tcW w:w="1928"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xml:space="preserve">Number of </w:t>
            </w:r>
            <w:r w:rsidRPr="007A10A5">
              <w:rPr>
                <w:rFonts w:ascii="Arial Narrow" w:hAnsi="Arial Narrow"/>
                <w:b/>
                <w:bCs/>
                <w:color w:val="000000"/>
                <w:sz w:val="18"/>
                <w:szCs w:val="18"/>
              </w:rPr>
              <w:t>Tōtara</w:t>
            </w:r>
            <w:r w:rsidRPr="007A10A5">
              <w:rPr>
                <w:rFonts w:ascii="Arial Narrow" w:hAnsi="Arial Narrow"/>
                <w:color w:val="000000"/>
                <w:sz w:val="18"/>
                <w:szCs w:val="18"/>
              </w:rPr>
              <w:t xml:space="preserve"> organisations contracted to deliver programmes of activity</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xml:space="preserve">New </w:t>
            </w:r>
            <w:r w:rsidRPr="007A10A5">
              <w:rPr>
                <w:rFonts w:ascii="Arial Narrow" w:hAnsi="Arial Narrow"/>
                <w:color w:val="000000"/>
                <w:sz w:val="18"/>
                <w:szCs w:val="18"/>
              </w:rPr>
              <w:br/>
              <w:t>measure</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xml:space="preserve">New </w:t>
            </w:r>
            <w:r w:rsidRPr="007A10A5">
              <w:rPr>
                <w:rFonts w:ascii="Arial Narrow" w:hAnsi="Arial Narrow"/>
                <w:color w:val="000000"/>
                <w:sz w:val="18"/>
                <w:szCs w:val="18"/>
              </w:rPr>
              <w:br/>
              <w:t>measure</w:t>
            </w:r>
          </w:p>
        </w:tc>
        <w:tc>
          <w:tcPr>
            <w:tcW w:w="1021"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24</w:t>
            </w:r>
          </w:p>
        </w:tc>
        <w:tc>
          <w:tcPr>
            <w:tcW w:w="102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23</w:t>
            </w:r>
            <w:r w:rsidR="00877D63">
              <w:rPr>
                <w:rFonts w:ascii="Arial Narrow" w:hAnsi="Arial Narrow"/>
                <w:color w:val="000000"/>
                <w:sz w:val="18"/>
                <w:szCs w:val="18"/>
              </w:rPr>
              <w:t xml:space="preserve"> –</w:t>
            </w:r>
            <w:r w:rsidRPr="007A10A5">
              <w:rPr>
                <w:rFonts w:ascii="Arial Narrow" w:hAnsi="Arial Narrow"/>
                <w:color w:val="000000"/>
                <w:sz w:val="18"/>
                <w:szCs w:val="18"/>
              </w:rPr>
              <w:t>26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24</w:t>
            </w:r>
          </w:p>
        </w:tc>
        <w:tc>
          <w:tcPr>
            <w:tcW w:w="85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Forecast met</w:t>
            </w:r>
          </w:p>
        </w:tc>
      </w:tr>
      <w:tr w:rsidR="00D12E32" w:rsidRPr="007A10A5" w:rsidTr="00B31EC7">
        <w:tc>
          <w:tcPr>
            <w:tcW w:w="1928" w:type="dxa"/>
            <w:tcBorders>
              <w:top w:val="nil"/>
              <w:left w:val="single" w:sz="4" w:space="0" w:color="auto"/>
              <w:bottom w:val="single" w:sz="4" w:space="0" w:color="auto"/>
              <w:right w:val="nil"/>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xml:space="preserve">Number of </w:t>
            </w:r>
            <w:r w:rsidRPr="007A10A5">
              <w:rPr>
                <w:rFonts w:ascii="Arial Narrow" w:hAnsi="Arial Narrow"/>
                <w:b/>
                <w:bCs/>
                <w:color w:val="000000"/>
                <w:sz w:val="18"/>
                <w:szCs w:val="18"/>
              </w:rPr>
              <w:t>Kahikatea</w:t>
            </w:r>
            <w:r w:rsidRPr="007A10A5">
              <w:rPr>
                <w:rFonts w:ascii="Arial Narrow" w:hAnsi="Arial Narrow"/>
                <w:color w:val="000000"/>
                <w:sz w:val="18"/>
                <w:szCs w:val="18"/>
              </w:rPr>
              <w:t xml:space="preserve"> organisations contracted to deliver programmes of activity</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xml:space="preserve">New </w:t>
            </w:r>
            <w:r w:rsidRPr="007A10A5">
              <w:rPr>
                <w:rFonts w:ascii="Arial Narrow" w:hAnsi="Arial Narrow"/>
                <w:color w:val="000000"/>
                <w:sz w:val="18"/>
                <w:szCs w:val="18"/>
              </w:rPr>
              <w:br/>
              <w:t>measure</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xml:space="preserve">New </w:t>
            </w:r>
            <w:r w:rsidRPr="007A10A5">
              <w:rPr>
                <w:rFonts w:ascii="Arial Narrow" w:hAnsi="Arial Narrow"/>
                <w:color w:val="000000"/>
                <w:sz w:val="18"/>
                <w:szCs w:val="18"/>
              </w:rPr>
              <w:br/>
              <w:t>measure</w:t>
            </w:r>
          </w:p>
        </w:tc>
        <w:tc>
          <w:tcPr>
            <w:tcW w:w="1021"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49</w:t>
            </w:r>
          </w:p>
        </w:tc>
        <w:tc>
          <w:tcPr>
            <w:tcW w:w="102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45</w:t>
            </w:r>
            <w:r w:rsidR="00877D63">
              <w:rPr>
                <w:rFonts w:ascii="Arial Narrow" w:hAnsi="Arial Narrow"/>
                <w:color w:val="000000"/>
                <w:sz w:val="18"/>
                <w:szCs w:val="18"/>
              </w:rPr>
              <w:t xml:space="preserve"> –</w:t>
            </w:r>
            <w:r w:rsidRPr="007A10A5">
              <w:rPr>
                <w:rFonts w:ascii="Arial Narrow" w:hAnsi="Arial Narrow"/>
                <w:color w:val="000000"/>
                <w:sz w:val="18"/>
                <w:szCs w:val="18"/>
              </w:rPr>
              <w:t>50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56</w:t>
            </w:r>
          </w:p>
        </w:tc>
        <w:tc>
          <w:tcPr>
            <w:tcW w:w="850" w:type="dxa"/>
            <w:tcBorders>
              <w:top w:val="nil"/>
              <w:left w:val="nil"/>
              <w:bottom w:val="single" w:sz="4" w:space="0" w:color="auto"/>
              <w:right w:val="nil"/>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12%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Exceeded forecast.</w:t>
            </w:r>
            <w:r w:rsidRPr="007A10A5">
              <w:rPr>
                <w:rFonts w:ascii="Arial Narrow" w:hAnsi="Arial Narrow"/>
                <w:color w:val="000000"/>
                <w:sz w:val="18"/>
                <w:szCs w:val="18"/>
              </w:rPr>
              <w:br/>
              <w:t>Number of Kahikatea organisations growing faster than anticipated</w:t>
            </w:r>
          </w:p>
        </w:tc>
      </w:tr>
      <w:tr w:rsidR="00D12E32" w:rsidRPr="007A10A5" w:rsidTr="00D12E32">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xml:space="preserve">Quality </w:t>
            </w:r>
          </w:p>
        </w:tc>
        <w:tc>
          <w:tcPr>
            <w:tcW w:w="1020" w:type="dxa"/>
            <w:tcBorders>
              <w:top w:val="nil"/>
              <w:left w:val="nil"/>
              <w:bottom w:val="nil"/>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bottom"/>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7A10A5" w:rsidRPr="007A10A5" w:rsidRDefault="007A10A5" w:rsidP="007A10A5">
            <w:pPr>
              <w:spacing w:before="0"/>
              <w:jc w:val="left"/>
              <w:rPr>
                <w:rFonts w:ascii="Arial Narrow" w:hAnsi="Arial Narrow"/>
                <w:b/>
                <w:bCs/>
                <w:color w:val="000000"/>
                <w:sz w:val="18"/>
                <w:szCs w:val="18"/>
              </w:rPr>
            </w:pPr>
            <w:r w:rsidRPr="007A10A5">
              <w:rPr>
                <w:rFonts w:ascii="Arial Narrow" w:hAnsi="Arial Narrow"/>
                <w:b/>
                <w:bCs/>
                <w:color w:val="000000"/>
                <w:sz w:val="18"/>
                <w:szCs w:val="18"/>
              </w:rPr>
              <w:t> </w:t>
            </w:r>
          </w:p>
        </w:tc>
      </w:tr>
      <w:tr w:rsidR="00D12E32" w:rsidRPr="007A10A5" w:rsidTr="00B31EC7">
        <w:tc>
          <w:tcPr>
            <w:tcW w:w="1928"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Proportion of organisations that meet or exceed the agreed expectations in their funding contracts</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51%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91%</w:t>
            </w:r>
          </w:p>
        </w:tc>
        <w:tc>
          <w:tcPr>
            <w:tcW w:w="1021"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86%</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92%</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93%</w:t>
            </w:r>
          </w:p>
        </w:tc>
        <w:tc>
          <w:tcPr>
            <w:tcW w:w="850" w:type="dxa"/>
            <w:tcBorders>
              <w:top w:val="nil"/>
              <w:left w:val="nil"/>
              <w:bottom w:val="nil"/>
              <w:right w:val="nil"/>
            </w:tcBorders>
            <w:shd w:val="clear" w:color="auto" w:fill="auto"/>
            <w:noWrap/>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Forecast met</w:t>
            </w:r>
          </w:p>
        </w:tc>
      </w:tr>
      <w:tr w:rsidR="00D12E32" w:rsidRPr="007A10A5" w:rsidTr="00B31EC7">
        <w:tc>
          <w:tcPr>
            <w:tcW w:w="1928" w:type="dxa"/>
            <w:tcBorders>
              <w:top w:val="nil"/>
              <w:left w:val="single" w:sz="4" w:space="0" w:color="auto"/>
              <w:bottom w:val="single" w:sz="4" w:space="0" w:color="auto"/>
              <w:right w:val="single" w:sz="4" w:space="0" w:color="auto"/>
            </w:tcBorders>
            <w:shd w:val="clear" w:color="auto" w:fill="auto"/>
            <w:vAlign w:val="center"/>
            <w:hideMark/>
          </w:tcPr>
          <w:p w:rsidR="007A10A5" w:rsidRPr="007A10A5" w:rsidRDefault="007A10A5" w:rsidP="007A10A5">
            <w:pPr>
              <w:spacing w:before="0"/>
              <w:jc w:val="left"/>
              <w:rPr>
                <w:rFonts w:ascii="Arial Narrow" w:hAnsi="Arial Narrow"/>
                <w:color w:val="000000"/>
                <w:sz w:val="18"/>
                <w:szCs w:val="18"/>
              </w:rPr>
            </w:pPr>
            <w:r w:rsidRPr="007A10A5">
              <w:rPr>
                <w:rFonts w:ascii="Arial Narrow" w:hAnsi="Arial Narrow"/>
                <w:color w:val="000000"/>
                <w:sz w:val="18"/>
                <w:szCs w:val="18"/>
              </w:rPr>
              <w:t>Proportion of Creative New Zealand obligations to customers under the funding contracts that are met</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96%</w:t>
            </w:r>
          </w:p>
        </w:tc>
        <w:tc>
          <w:tcPr>
            <w:tcW w:w="1021"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 95%</w:t>
            </w:r>
          </w:p>
        </w:tc>
        <w:tc>
          <w:tcPr>
            <w:tcW w:w="1020" w:type="dxa"/>
            <w:tcBorders>
              <w:top w:val="nil"/>
              <w:left w:val="nil"/>
              <w:bottom w:val="single" w:sz="4" w:space="0" w:color="auto"/>
              <w:right w:val="single" w:sz="4" w:space="0" w:color="auto"/>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100%</w:t>
            </w:r>
          </w:p>
        </w:tc>
        <w:tc>
          <w:tcPr>
            <w:tcW w:w="850" w:type="dxa"/>
            <w:tcBorders>
              <w:top w:val="single" w:sz="4" w:space="0" w:color="auto"/>
              <w:left w:val="nil"/>
              <w:bottom w:val="single" w:sz="4" w:space="0" w:color="auto"/>
              <w:right w:val="nil"/>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5%</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7A10A5" w:rsidRPr="007A10A5" w:rsidRDefault="007A10A5" w:rsidP="007A10A5">
            <w:pPr>
              <w:spacing w:before="0"/>
              <w:jc w:val="center"/>
              <w:rPr>
                <w:rFonts w:ascii="Arial Narrow" w:hAnsi="Arial Narrow"/>
                <w:color w:val="000000"/>
                <w:sz w:val="18"/>
                <w:szCs w:val="18"/>
              </w:rPr>
            </w:pPr>
            <w:r w:rsidRPr="007A10A5">
              <w:rPr>
                <w:rFonts w:ascii="Arial Narrow" w:hAnsi="Arial Narrow"/>
                <w:color w:val="000000"/>
                <w:sz w:val="18"/>
                <w:szCs w:val="18"/>
              </w:rPr>
              <w:t>Forecast exceeded</w:t>
            </w:r>
          </w:p>
        </w:tc>
      </w:tr>
    </w:tbl>
    <w:p w:rsidR="003027E3" w:rsidRPr="006552E9" w:rsidRDefault="003027E3" w:rsidP="003027E3">
      <w:pPr>
        <w:spacing w:before="0"/>
      </w:pPr>
    </w:p>
    <w:p w:rsidR="003027E3" w:rsidRPr="006552E9" w:rsidRDefault="003027E3" w:rsidP="003027E3">
      <w:pPr>
        <w:spacing w:before="0"/>
      </w:pPr>
    </w:p>
    <w:p w:rsidR="003027E3" w:rsidRPr="006552E9" w:rsidRDefault="003027E3" w:rsidP="003027E3">
      <w:pPr>
        <w:spacing w:before="0"/>
      </w:pPr>
      <w:r w:rsidRPr="006552E9">
        <w:t xml:space="preserve">Figure </w:t>
      </w:r>
      <w:r w:rsidR="00A513D3">
        <w:t>2</w:t>
      </w:r>
      <w:r w:rsidR="00DE3684">
        <w:t>3</w:t>
      </w:r>
      <w:r w:rsidRPr="006552E9">
        <w:t xml:space="preserve"> shows the effect of Creative New Zealand’s decision to increase multi</w:t>
      </w:r>
      <w:r w:rsidR="00DD0F95">
        <w:t>-</w:t>
      </w:r>
      <w:r w:rsidRPr="006552E9">
        <w:t>year funding to key organisations and infrastructure on the numbers of organisations supported and the amount invested.</w:t>
      </w:r>
    </w:p>
    <w:p w:rsidR="003027E3" w:rsidRPr="006552E9" w:rsidRDefault="003027E3" w:rsidP="003027E3">
      <w:pPr>
        <w:spacing w:before="0"/>
      </w:pPr>
    </w:p>
    <w:p w:rsidR="003027E3" w:rsidRPr="006552E9" w:rsidRDefault="005D6E4A" w:rsidP="003027E3">
      <w:pPr>
        <w:pStyle w:val="Caption"/>
      </w:pPr>
      <w:r>
        <w:pict>
          <v:shape id="_x0000_i1039" type="#_x0000_t75" alt="Bar and line graph showing the number of organisations in the Totara and Kahikatea investments programmes (and the former recurrent funding programme), and the amount invested through these programmes, growing from 35 organisations in 2009/10, with $18 million invested, to 80 organisations in 2012/13, with $23.6 million invested." style="width:297.4pt;height:206pt">
            <v:imagedata r:id="rId42"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23</w:t>
      </w:r>
      <w:r w:rsidR="006E1B57" w:rsidRPr="006552E9">
        <w:fldChar w:fldCharType="end"/>
      </w:r>
      <w:r w:rsidRPr="006552E9">
        <w:t>: Number of organisations and total investment in Recurrent Funding and Investment programmes, 2009/10 to 2012/13</w:t>
      </w:r>
    </w:p>
    <w:p w:rsidR="003027E3" w:rsidRPr="006552E9" w:rsidRDefault="003027E3" w:rsidP="003027E3">
      <w:pPr>
        <w:pStyle w:val="Heading3"/>
      </w:pPr>
      <w:bookmarkStart w:id="67" w:name="_Toc373415038"/>
      <w:r w:rsidRPr="006552E9">
        <w:t xml:space="preserve">Grants funding </w:t>
      </w:r>
      <w:r w:rsidR="00737504" w:rsidRPr="006552E9">
        <w:t>and special opportunities</w:t>
      </w:r>
      <w:bookmarkEnd w:id="67"/>
    </w:p>
    <w:p w:rsidR="003027E3" w:rsidRPr="006552E9" w:rsidRDefault="003027E3" w:rsidP="003027E3">
      <w:r w:rsidRPr="006552E9">
        <w:t>Creative New Zealand provides grants funding through a range of programmes, selecting the best artists, arts practitioners and arts organisations and their projects.</w:t>
      </w:r>
      <w:r w:rsidR="00175E6D" w:rsidRPr="006552E9">
        <w:t xml:space="preserve"> </w:t>
      </w:r>
      <w:r w:rsidRPr="006552E9">
        <w:t>Around 500 projects are supported each year through grants funding.</w:t>
      </w:r>
    </w:p>
    <w:p w:rsidR="003027E3" w:rsidRPr="006552E9" w:rsidRDefault="003027E3" w:rsidP="003027E3">
      <w:r w:rsidRPr="006552E9">
        <w:t xml:space="preserve">In </w:t>
      </w:r>
      <w:r w:rsidR="00737504" w:rsidRPr="006552E9">
        <w:t>2012/13</w:t>
      </w:r>
      <w:r w:rsidRPr="006552E9">
        <w:t xml:space="preserve">, there were two main types available: Quick Response </w:t>
      </w:r>
      <w:r w:rsidR="00A513D3" w:rsidRPr="006552E9">
        <w:t xml:space="preserve">Grants </w:t>
      </w:r>
      <w:r w:rsidRPr="006552E9">
        <w:t xml:space="preserve">and Arts </w:t>
      </w:r>
      <w:r w:rsidR="00A513D3" w:rsidRPr="006552E9">
        <w:t>Grants</w:t>
      </w:r>
      <w:r w:rsidRPr="006552E9">
        <w:t>.</w:t>
      </w:r>
      <w:r w:rsidR="00175E6D" w:rsidRPr="006552E9">
        <w:t xml:space="preserve"> </w:t>
      </w:r>
    </w:p>
    <w:p w:rsidR="003027E3" w:rsidRPr="006552E9" w:rsidRDefault="003027E3" w:rsidP="003027E3">
      <w:r w:rsidRPr="006552E9">
        <w:t>A key aspect considered by the assessment process is how effectively a project will achieve one, or more, of the results (outcomes and impacts) that Creative New Zealand is seeking.</w:t>
      </w:r>
      <w:r w:rsidR="00175E6D" w:rsidRPr="006552E9">
        <w:t xml:space="preserve"> </w:t>
      </w:r>
    </w:p>
    <w:p w:rsidR="003027E3" w:rsidRPr="006552E9" w:rsidRDefault="003027E3" w:rsidP="003027E3">
      <w:r w:rsidRPr="006552E9">
        <w:t>The quality of all projects is assessed by Creative New Zealand staff.</w:t>
      </w:r>
      <w:r w:rsidR="00175E6D" w:rsidRPr="006552E9">
        <w:t xml:space="preserve"> </w:t>
      </w:r>
      <w:r w:rsidRPr="006552E9">
        <w:t>Arts Grants are also assessed by external peer assessors.</w:t>
      </w:r>
      <w:r w:rsidR="00175E6D" w:rsidRPr="006552E9">
        <w:t xml:space="preserve"> </w:t>
      </w:r>
      <w:r w:rsidRPr="006552E9">
        <w:t>Projects are assessed for quality on a seven-point scale across four areas.</w:t>
      </w:r>
      <w:r w:rsidR="00175E6D" w:rsidRPr="006552E9">
        <w:t xml:space="preserve"> </w:t>
      </w:r>
    </w:p>
    <w:p w:rsidR="003027E3" w:rsidRPr="006552E9" w:rsidRDefault="003027E3" w:rsidP="003027E3">
      <w:pPr>
        <w:pStyle w:val="ListParagraph"/>
        <w:keepNext/>
        <w:numPr>
          <w:ilvl w:val="0"/>
          <w:numId w:val="5"/>
        </w:numPr>
        <w:spacing w:before="120"/>
        <w:ind w:left="623" w:hanging="510"/>
        <w:rPr>
          <w:rFonts w:cs="Arial"/>
        </w:rPr>
      </w:pPr>
      <w:r w:rsidRPr="006552E9">
        <w:rPr>
          <w:rFonts w:cs="Arial"/>
        </w:rPr>
        <w:t>The idea: What is it that you want to do?</w:t>
      </w:r>
    </w:p>
    <w:p w:rsidR="003027E3" w:rsidRPr="006552E9" w:rsidRDefault="003027E3" w:rsidP="003027E3">
      <w:pPr>
        <w:pStyle w:val="ListParagraph"/>
        <w:numPr>
          <w:ilvl w:val="0"/>
          <w:numId w:val="5"/>
        </w:numPr>
        <w:spacing w:before="120"/>
        <w:rPr>
          <w:rFonts w:cs="Arial"/>
        </w:rPr>
      </w:pPr>
      <w:r w:rsidRPr="006552E9">
        <w:rPr>
          <w:rFonts w:cs="Arial"/>
        </w:rPr>
        <w:t>The process: How will you carry out the project, where and when will it occur, and how will you evaluate the completed project?</w:t>
      </w:r>
    </w:p>
    <w:p w:rsidR="003027E3" w:rsidRPr="006552E9" w:rsidRDefault="003027E3" w:rsidP="003027E3">
      <w:pPr>
        <w:pStyle w:val="ListParagraph"/>
        <w:numPr>
          <w:ilvl w:val="0"/>
          <w:numId w:val="5"/>
        </w:numPr>
        <w:spacing w:before="120"/>
        <w:rPr>
          <w:rFonts w:cs="Arial"/>
        </w:rPr>
      </w:pPr>
      <w:r w:rsidRPr="006552E9">
        <w:rPr>
          <w:rFonts w:cs="Arial"/>
        </w:rPr>
        <w:t>The people: Who is involved?</w:t>
      </w:r>
    </w:p>
    <w:p w:rsidR="003027E3" w:rsidRPr="006552E9" w:rsidRDefault="003027E3" w:rsidP="003027E3">
      <w:pPr>
        <w:pStyle w:val="ListParagraph"/>
        <w:numPr>
          <w:ilvl w:val="0"/>
          <w:numId w:val="5"/>
        </w:numPr>
        <w:spacing w:before="120"/>
        <w:rPr>
          <w:rFonts w:cs="Arial"/>
        </w:rPr>
      </w:pPr>
      <w:r w:rsidRPr="006552E9">
        <w:rPr>
          <w:rFonts w:cs="Arial"/>
        </w:rPr>
        <w:t>The budget: How much will it cost?</w:t>
      </w:r>
    </w:p>
    <w:p w:rsidR="003027E3" w:rsidRPr="006552E9" w:rsidRDefault="003027E3" w:rsidP="003027E3">
      <w:r w:rsidRPr="006552E9">
        <w:t>Where relevant, projects are assessed for their contribution to cultural diversity, innovation and community arts participation.</w:t>
      </w:r>
      <w:r w:rsidR="00175E6D" w:rsidRPr="006552E9">
        <w:t xml:space="preserve"> </w:t>
      </w:r>
    </w:p>
    <w:p w:rsidR="003027E3" w:rsidRPr="006552E9" w:rsidRDefault="003027E3" w:rsidP="003027E3">
      <w:r w:rsidRPr="006552E9">
        <w:t xml:space="preserve">The detailed assessments are provided to the appropriate advisory panel and decision making board, to </w:t>
      </w:r>
      <w:r w:rsidR="00BD498B" w:rsidRPr="006552E9">
        <w:t>inform</w:t>
      </w:r>
      <w:r w:rsidRPr="006552E9">
        <w:t xml:space="preserve"> the final grants’ decisions.</w:t>
      </w:r>
    </w:p>
    <w:p w:rsidR="003027E3" w:rsidRPr="006552E9" w:rsidRDefault="003027E3" w:rsidP="003027E3">
      <w:pPr>
        <w:keepNext/>
      </w:pPr>
      <w:r w:rsidRPr="006552E9">
        <w:t xml:space="preserve">For reporting purposes, </w:t>
      </w:r>
      <w:r w:rsidRPr="00DD0F95">
        <w:t xml:space="preserve">Grants funding </w:t>
      </w:r>
      <w:r w:rsidR="00764AF2" w:rsidRPr="00DD0F95">
        <w:t xml:space="preserve">referred to in table </w:t>
      </w:r>
      <w:r w:rsidR="00A513D3" w:rsidRPr="00DD0F95">
        <w:t>8</w:t>
      </w:r>
      <w:r w:rsidR="00764AF2" w:rsidRPr="00DD0F95">
        <w:t xml:space="preserve"> below </w:t>
      </w:r>
      <w:r w:rsidRPr="00DD0F95">
        <w:t>also includes</w:t>
      </w:r>
      <w:r w:rsidRPr="006552E9">
        <w:t>:</w:t>
      </w:r>
    </w:p>
    <w:p w:rsidR="003027E3" w:rsidRPr="006552E9" w:rsidRDefault="00756240" w:rsidP="003027E3">
      <w:pPr>
        <w:pStyle w:val="Bullet"/>
      </w:pPr>
      <w:r w:rsidRPr="006552E9">
        <w:t>s</w:t>
      </w:r>
      <w:r w:rsidR="003027E3" w:rsidRPr="006552E9">
        <w:t xml:space="preserve">pecial opportunities (awards, residencies, bursaries, scholarships) </w:t>
      </w:r>
    </w:p>
    <w:p w:rsidR="003027E3" w:rsidRPr="006552E9" w:rsidRDefault="003027E3" w:rsidP="003027E3">
      <w:pPr>
        <w:pStyle w:val="Bullet"/>
      </w:pPr>
      <w:r w:rsidRPr="006552E9">
        <w:t>the Toi Ake and Tohunga Tukunga programmes and grants funded from the M</w:t>
      </w:r>
      <w:r w:rsidRPr="006552E9">
        <w:rPr>
          <w:rFonts w:cs="Arial"/>
        </w:rPr>
        <w:t>ā</w:t>
      </w:r>
      <w:r w:rsidRPr="006552E9">
        <w:t>ori Arts Development Initiative, all of which focus on specific outcomes for Māori</w:t>
      </w:r>
    </w:p>
    <w:p w:rsidR="003027E3" w:rsidRPr="006552E9" w:rsidRDefault="003027E3" w:rsidP="003027E3">
      <w:pPr>
        <w:pStyle w:val="Bullet"/>
      </w:pPr>
      <w:r w:rsidRPr="006552E9">
        <w:t>the Distribution strategy funding</w:t>
      </w:r>
      <w:r w:rsidR="00A513D3">
        <w:t>,</w:t>
      </w:r>
      <w:r w:rsidRPr="006552E9">
        <w:t xml:space="preserve"> which supports regional arts touring </w:t>
      </w:r>
    </w:p>
    <w:p w:rsidR="003027E3" w:rsidRPr="006552E9" w:rsidRDefault="003027E3" w:rsidP="003027E3">
      <w:pPr>
        <w:pStyle w:val="Bullet"/>
      </w:pPr>
      <w:r w:rsidRPr="006552E9">
        <w:t>Sistema Aotearoa</w:t>
      </w:r>
    </w:p>
    <w:p w:rsidR="00756240" w:rsidRPr="006552E9" w:rsidRDefault="003027E3" w:rsidP="003027E3">
      <w:pPr>
        <w:pStyle w:val="Bullet"/>
      </w:pPr>
      <w:r w:rsidRPr="006552E9">
        <w:t>the Flexible Funding portfolio, a fund to be used at the Chief Executive’s discretion</w:t>
      </w:r>
    </w:p>
    <w:p w:rsidR="003027E3" w:rsidRPr="006552E9" w:rsidRDefault="00756240" w:rsidP="003027E3">
      <w:pPr>
        <w:pStyle w:val="Bullet"/>
      </w:pPr>
      <w:r w:rsidRPr="006552E9">
        <w:t>the Earthquake Emergency Response Fund</w:t>
      </w:r>
      <w:r w:rsidR="003027E3" w:rsidRPr="006552E9">
        <w:t>.</w:t>
      </w:r>
    </w:p>
    <w:p w:rsidR="003027E3" w:rsidRPr="006552E9" w:rsidRDefault="003027E3" w:rsidP="003027E3">
      <w:r w:rsidRPr="006552E9">
        <w:t>Applications are assessed against additional criteria that are specific to these particular programmes.</w:t>
      </w:r>
      <w:r w:rsidR="00175E6D" w:rsidRPr="006552E9">
        <w:t xml:space="preserve"> </w:t>
      </w:r>
    </w:p>
    <w:p w:rsidR="003027E3" w:rsidRPr="006552E9" w:rsidRDefault="003027E3" w:rsidP="003027E3">
      <w:r w:rsidRPr="006552E9">
        <w:t>Following the devastating Canterbury earthquakes, Creative New Zealand used some of its reserves to establish an Earthquake Emergency Response Fund.</w:t>
      </w:r>
      <w:r w:rsidR="00175E6D" w:rsidRPr="006552E9">
        <w:t xml:space="preserve"> </w:t>
      </w:r>
      <w:r w:rsidRPr="006552E9">
        <w:t>Initial grants from the fund were for emergency assistance to those affected by the earthquakes.</w:t>
      </w:r>
      <w:r w:rsidR="00175E6D" w:rsidRPr="006552E9">
        <w:t xml:space="preserve"> </w:t>
      </w:r>
      <w:r w:rsidRPr="006552E9">
        <w:t>At the beginning of 2013, the focus of the fund changed from addressing emergency needs to supporting the recovery of the arts in Canterbury.</w:t>
      </w:r>
      <w:r w:rsidR="00175E6D" w:rsidRPr="006552E9">
        <w:t xml:space="preserve"> </w:t>
      </w:r>
      <w:r w:rsidRPr="006552E9">
        <w:t xml:space="preserve">The </w:t>
      </w:r>
      <w:r w:rsidR="00A513D3" w:rsidRPr="006552E9">
        <w:t xml:space="preserve">fund </w:t>
      </w:r>
      <w:r w:rsidRPr="006552E9">
        <w:t>has been budgeted for until 2015/16.</w:t>
      </w:r>
      <w:r w:rsidR="00175E6D" w:rsidRPr="006552E9">
        <w:t xml:space="preserve"> </w:t>
      </w:r>
    </w:p>
    <w:p w:rsidR="003027E3" w:rsidRPr="006552E9" w:rsidRDefault="003027E3" w:rsidP="003027E3">
      <w:r w:rsidRPr="006552E9">
        <w:t xml:space="preserve">Applications for grants from the Earthquake </w:t>
      </w:r>
      <w:r w:rsidR="00A513D3" w:rsidRPr="006552E9">
        <w:t xml:space="preserve">fund </w:t>
      </w:r>
      <w:r w:rsidRPr="006552E9">
        <w:t>are considered on a monthly basis to provide rapid responses to changing needs in Christchurch.</w:t>
      </w:r>
      <w:r w:rsidR="00175E6D" w:rsidRPr="006552E9">
        <w:t xml:space="preserve"> </w:t>
      </w:r>
      <w:r w:rsidRPr="006552E9">
        <w:t>Recovery grants are reported under Grants funding.</w:t>
      </w:r>
    </w:p>
    <w:p w:rsidR="003027E3" w:rsidRPr="006552E9" w:rsidRDefault="003027E3" w:rsidP="003027E3">
      <w:r w:rsidRPr="006552E9">
        <w:t xml:space="preserve">Once completed, projects </w:t>
      </w:r>
      <w:r w:rsidR="00A513D3">
        <w:t>that</w:t>
      </w:r>
      <w:r w:rsidRPr="006552E9">
        <w:t xml:space="preserve"> have received Grants funding have their project completion reports evaluated against the expectations of their initial application and funding agreement.</w:t>
      </w:r>
    </w:p>
    <w:p w:rsidR="003027E3" w:rsidRPr="006552E9" w:rsidRDefault="003027E3" w:rsidP="003027E3">
      <w:r w:rsidRPr="006552E9">
        <w:t xml:space="preserve">Grants funding supports </w:t>
      </w:r>
      <w:r w:rsidRPr="006552E9">
        <w:rPr>
          <w:b/>
        </w:rPr>
        <w:t>all four outcomes</w:t>
      </w:r>
      <w:r w:rsidRPr="006552E9">
        <w:t>.</w:t>
      </w:r>
      <w:r w:rsidR="00175E6D" w:rsidRPr="006552E9">
        <w:t xml:space="preserve"> </w:t>
      </w:r>
    </w:p>
    <w:p w:rsidR="003027E3" w:rsidRPr="006552E9" w:rsidRDefault="003027E3" w:rsidP="003027E3"/>
    <w:p w:rsidR="003027E3" w:rsidRPr="006552E9" w:rsidRDefault="003027E3" w:rsidP="003027E3">
      <w:pPr>
        <w:pStyle w:val="Caption"/>
        <w:keepNext/>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8</w:t>
      </w:r>
      <w:r w:rsidR="006E1B57" w:rsidRPr="006552E9">
        <w:fldChar w:fldCharType="end"/>
      </w:r>
      <w:r w:rsidRPr="006552E9">
        <w:t>: Proof of performance, grants and special opportunities, 2009/10 to 2012/13</w:t>
      </w:r>
    </w:p>
    <w:tbl>
      <w:tblPr>
        <w:tblW w:w="9298" w:type="dxa"/>
        <w:tblInd w:w="93" w:type="dxa"/>
        <w:tblCellMar>
          <w:top w:w="28" w:type="dxa"/>
          <w:left w:w="57" w:type="dxa"/>
          <w:bottom w:w="28" w:type="dxa"/>
          <w:right w:w="57" w:type="dxa"/>
        </w:tblCellMar>
        <w:tblLook w:val="04A0" w:firstRow="1" w:lastRow="0" w:firstColumn="1" w:lastColumn="0" w:noHBand="0" w:noVBand="1"/>
      </w:tblPr>
      <w:tblGrid>
        <w:gridCol w:w="1928"/>
        <w:gridCol w:w="1020"/>
        <w:gridCol w:w="1020"/>
        <w:gridCol w:w="1021"/>
        <w:gridCol w:w="1020"/>
        <w:gridCol w:w="1020"/>
        <w:gridCol w:w="850"/>
        <w:gridCol w:w="1419"/>
      </w:tblGrid>
      <w:tr w:rsidR="00B31EC7" w:rsidRPr="00B31EC7" w:rsidTr="002F2F7A">
        <w:trPr>
          <w:trHeight w:val="255"/>
          <w:tblHeader/>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xml:space="preserve">Past </w:t>
            </w:r>
            <w:r w:rsidR="00A513D3" w:rsidRPr="00B31EC7">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xml:space="preserve">Current </w:t>
            </w:r>
            <w:r w:rsidR="00A513D3" w:rsidRPr="00B31EC7">
              <w:rPr>
                <w:rFonts w:ascii="Arial Narrow" w:hAnsi="Arial Narrow"/>
                <w:b/>
                <w:bCs/>
                <w:color w:val="000000"/>
                <w:sz w:val="18"/>
                <w:szCs w:val="18"/>
              </w:rPr>
              <w:t>performance</w:t>
            </w:r>
          </w:p>
        </w:tc>
      </w:tr>
      <w:tr w:rsidR="00B31EC7" w:rsidRPr="00B31EC7" w:rsidTr="00B31EC7">
        <w:trPr>
          <w:trHeight w:val="765"/>
          <w:tblHead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B31EC7" w:rsidRPr="00B31EC7" w:rsidRDefault="00B31EC7" w:rsidP="00B31EC7">
            <w:pPr>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2009/10 Actual</w:t>
            </w:r>
          </w:p>
        </w:tc>
        <w:tc>
          <w:tcPr>
            <w:tcW w:w="1020" w:type="dxa"/>
            <w:tcBorders>
              <w:top w:val="nil"/>
              <w:left w:val="nil"/>
              <w:bottom w:val="single" w:sz="4" w:space="0" w:color="auto"/>
              <w:right w:val="single" w:sz="4" w:space="0" w:color="auto"/>
            </w:tcBorders>
            <w:shd w:val="clear" w:color="000000" w:fill="B8CCE4"/>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2010/11 Actual</w:t>
            </w:r>
          </w:p>
        </w:tc>
        <w:tc>
          <w:tcPr>
            <w:tcW w:w="1021" w:type="dxa"/>
            <w:tcBorders>
              <w:top w:val="nil"/>
              <w:left w:val="nil"/>
              <w:bottom w:val="single" w:sz="4" w:space="0" w:color="auto"/>
              <w:right w:val="nil"/>
            </w:tcBorders>
            <w:shd w:val="clear" w:color="000000" w:fill="B8CCE4"/>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xml:space="preserve">2011/12 Actual </w:t>
            </w:r>
          </w:p>
        </w:tc>
        <w:tc>
          <w:tcPr>
            <w:tcW w:w="1020" w:type="dxa"/>
            <w:tcBorders>
              <w:top w:val="nil"/>
              <w:left w:val="single" w:sz="4" w:space="0" w:color="auto"/>
              <w:bottom w:val="single" w:sz="4" w:space="0" w:color="auto"/>
              <w:right w:val="single" w:sz="4" w:space="0" w:color="auto"/>
            </w:tcBorders>
            <w:shd w:val="clear" w:color="000000" w:fill="B8CCE4"/>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xml:space="preserve">2012/13 Actual </w:t>
            </w:r>
            <w:r w:rsidR="00A513D3" w:rsidRPr="00B31EC7">
              <w:rPr>
                <w:rFonts w:ascii="Arial Narrow" w:hAnsi="Arial Narrow"/>
                <w:b/>
                <w:bCs/>
                <w:color w:val="000000"/>
                <w:sz w:val="18"/>
                <w:szCs w:val="18"/>
              </w:rPr>
              <w:t>year to date</w:t>
            </w:r>
          </w:p>
        </w:tc>
        <w:tc>
          <w:tcPr>
            <w:tcW w:w="850" w:type="dxa"/>
            <w:tcBorders>
              <w:top w:val="nil"/>
              <w:left w:val="single" w:sz="4" w:space="0" w:color="auto"/>
              <w:bottom w:val="nil"/>
              <w:right w:val="single" w:sz="4" w:space="0" w:color="auto"/>
            </w:tcBorders>
            <w:shd w:val="clear" w:color="000000" w:fill="B8CCE4"/>
            <w:vAlign w:val="center"/>
            <w:hideMark/>
          </w:tcPr>
          <w:p w:rsidR="00B31EC7" w:rsidRPr="00B31EC7" w:rsidRDefault="00B31EC7" w:rsidP="00A513D3">
            <w:pPr>
              <w:spacing w:before="0"/>
              <w:jc w:val="center"/>
              <w:rPr>
                <w:rFonts w:ascii="Arial Narrow" w:hAnsi="Arial Narrow"/>
                <w:b/>
                <w:bCs/>
                <w:color w:val="000000"/>
                <w:sz w:val="18"/>
                <w:szCs w:val="18"/>
              </w:rPr>
            </w:pPr>
            <w:r w:rsidRPr="00B31EC7">
              <w:rPr>
                <w:rFonts w:ascii="Arial Narrow" w:hAnsi="Arial Narrow"/>
                <w:b/>
                <w:bCs/>
                <w:color w:val="000000"/>
                <w:sz w:val="18"/>
                <w:szCs w:val="18"/>
              </w:rPr>
              <w:t xml:space="preserve">Variance to </w:t>
            </w:r>
            <w:r w:rsidR="00A513D3" w:rsidRPr="00B31EC7">
              <w:rPr>
                <w:rFonts w:ascii="Arial Narrow" w:hAnsi="Arial Narrow"/>
                <w:b/>
                <w:bCs/>
                <w:color w:val="000000"/>
                <w:sz w:val="18"/>
                <w:szCs w:val="18"/>
              </w:rPr>
              <w:t xml:space="preserve">forecast </w:t>
            </w:r>
            <w:r w:rsidRPr="00B31EC7">
              <w:rPr>
                <w:rFonts w:ascii="Arial Narrow" w:hAnsi="Arial Narrow"/>
                <w:b/>
                <w:bCs/>
                <w:color w:val="000000"/>
                <w:sz w:val="18"/>
                <w:szCs w:val="18"/>
              </w:rPr>
              <w:br/>
              <w:t>(+/</w:t>
            </w:r>
            <w:r w:rsidR="00A513D3">
              <w:rPr>
                <w:rFonts w:ascii="Arial Narrow" w:hAnsi="Arial Narrow"/>
                <w:b/>
                <w:bCs/>
                <w:color w:val="000000"/>
                <w:sz w:val="18"/>
                <w:szCs w:val="18"/>
              </w:rPr>
              <w:t>–%)</w:t>
            </w:r>
          </w:p>
        </w:tc>
        <w:tc>
          <w:tcPr>
            <w:tcW w:w="1417" w:type="dxa"/>
            <w:tcBorders>
              <w:top w:val="nil"/>
              <w:left w:val="nil"/>
              <w:bottom w:val="nil"/>
              <w:right w:val="single" w:sz="4" w:space="0" w:color="auto"/>
            </w:tcBorders>
            <w:shd w:val="clear" w:color="000000" w:fill="B8CCE4"/>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Notes</w:t>
            </w:r>
          </w:p>
        </w:tc>
      </w:tr>
      <w:tr w:rsidR="00B31EC7" w:rsidRPr="00B31EC7" w:rsidTr="002F2F7A">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Expenditure</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rsidR="00B31EC7" w:rsidRPr="00B31EC7" w:rsidRDefault="00B31EC7" w:rsidP="00B31EC7">
            <w:pPr>
              <w:spacing w:before="0"/>
              <w:jc w:val="center"/>
              <w:rPr>
                <w:rFonts w:ascii="Arial Narrow" w:hAnsi="Arial Narrow"/>
                <w:b/>
                <w:bCs/>
                <w:color w:val="000000"/>
                <w:sz w:val="18"/>
                <w:szCs w:val="18"/>
              </w:rPr>
            </w:pPr>
            <w:r w:rsidRPr="00B31EC7">
              <w:rPr>
                <w:rFonts w:ascii="Arial Narrow" w:hAnsi="Arial Narrow"/>
                <w:b/>
                <w:bCs/>
                <w:color w:val="000000"/>
                <w:sz w:val="18"/>
                <w:szCs w:val="18"/>
              </w:rPr>
              <w:t> </w:t>
            </w:r>
          </w:p>
        </w:tc>
      </w:tr>
      <w:tr w:rsidR="00B31EC7" w:rsidRPr="00B31EC7" w:rsidTr="002F2F7A">
        <w:tc>
          <w:tcPr>
            <w:tcW w:w="1928" w:type="dxa"/>
            <w:tcBorders>
              <w:top w:val="nil"/>
              <w:left w:val="single" w:sz="4" w:space="0" w:color="auto"/>
              <w:bottom w:val="single" w:sz="4" w:space="0" w:color="auto"/>
              <w:right w:val="nil"/>
            </w:tcBorders>
            <w:shd w:val="clear" w:color="000000" w:fill="FFFFFF"/>
            <w:vAlign w:val="center"/>
            <w:hideMark/>
          </w:tcPr>
          <w:p w:rsidR="00B31EC7" w:rsidRPr="00B31EC7" w:rsidRDefault="00B31EC7" w:rsidP="00B31EC7">
            <w:pPr>
              <w:spacing w:before="0"/>
              <w:jc w:val="left"/>
              <w:rPr>
                <w:rFonts w:ascii="Arial Narrow" w:hAnsi="Arial Narrow"/>
                <w:color w:val="000000"/>
                <w:sz w:val="18"/>
                <w:szCs w:val="18"/>
              </w:rPr>
            </w:pPr>
            <w:r w:rsidRPr="00B31EC7">
              <w:rPr>
                <w:rFonts w:ascii="Arial Narrow" w:hAnsi="Arial Narrow"/>
                <w:color w:val="000000"/>
                <w:sz w:val="18"/>
                <w:szCs w:val="18"/>
              </w:rPr>
              <w:t>Total expenditure</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w:t>
            </w:r>
            <w:r w:rsidR="0007425F">
              <w:rPr>
                <w:rFonts w:ascii="Arial Narrow" w:hAnsi="Arial Narrow"/>
                <w:color w:val="000000"/>
                <w:sz w:val="18"/>
                <w:szCs w:val="18"/>
              </w:rPr>
              <w:t xml:space="preserve"> </w:t>
            </w:r>
            <w:r w:rsidRPr="00B31EC7">
              <w:rPr>
                <w:rFonts w:ascii="Arial Narrow" w:hAnsi="Arial Narrow"/>
                <w:color w:val="000000"/>
                <w:sz w:val="18"/>
                <w:szCs w:val="18"/>
              </w:rPr>
              <w:t>11,739,438</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w:t>
            </w:r>
            <w:r w:rsidR="0007425F">
              <w:rPr>
                <w:rFonts w:ascii="Arial Narrow" w:hAnsi="Arial Narrow"/>
                <w:color w:val="000000"/>
                <w:sz w:val="18"/>
                <w:szCs w:val="18"/>
              </w:rPr>
              <w:t xml:space="preserve"> </w:t>
            </w:r>
            <w:r w:rsidRPr="00B31EC7">
              <w:rPr>
                <w:rFonts w:ascii="Arial Narrow" w:hAnsi="Arial Narrow"/>
                <w:color w:val="000000"/>
                <w:sz w:val="18"/>
                <w:szCs w:val="18"/>
              </w:rPr>
              <w:t>12,628,525</w:t>
            </w:r>
          </w:p>
        </w:tc>
        <w:tc>
          <w:tcPr>
            <w:tcW w:w="1021"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w:t>
            </w:r>
            <w:r w:rsidR="0007425F">
              <w:rPr>
                <w:rFonts w:ascii="Arial Narrow" w:hAnsi="Arial Narrow"/>
                <w:color w:val="000000"/>
                <w:sz w:val="18"/>
                <w:szCs w:val="18"/>
              </w:rPr>
              <w:t xml:space="preserve"> </w:t>
            </w:r>
            <w:r w:rsidRPr="00B31EC7">
              <w:rPr>
                <w:rFonts w:ascii="Arial Narrow" w:hAnsi="Arial Narrow"/>
                <w:color w:val="000000"/>
                <w:sz w:val="18"/>
                <w:szCs w:val="18"/>
              </w:rPr>
              <w:t>8,941,600</w:t>
            </w:r>
          </w:p>
        </w:tc>
        <w:tc>
          <w:tcPr>
            <w:tcW w:w="1020" w:type="dxa"/>
            <w:tcBorders>
              <w:top w:val="nil"/>
              <w:left w:val="nil"/>
              <w:bottom w:val="single" w:sz="4" w:space="0" w:color="auto"/>
              <w:right w:val="nil"/>
            </w:tcBorders>
            <w:shd w:val="clear" w:color="000000" w:fill="FFFFFF"/>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w:t>
            </w:r>
            <w:r w:rsidR="0007425F">
              <w:rPr>
                <w:rFonts w:ascii="Arial Narrow" w:hAnsi="Arial Narrow"/>
                <w:color w:val="000000"/>
                <w:sz w:val="18"/>
                <w:szCs w:val="18"/>
              </w:rPr>
              <w:t xml:space="preserve"> </w:t>
            </w:r>
            <w:r w:rsidRPr="00B31EC7">
              <w:rPr>
                <w:rFonts w:ascii="Arial Narrow" w:hAnsi="Arial Narrow"/>
                <w:color w:val="000000"/>
                <w:sz w:val="18"/>
                <w:szCs w:val="18"/>
              </w:rPr>
              <w:t>8,401,495</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w:t>
            </w:r>
            <w:r w:rsidR="0007425F">
              <w:rPr>
                <w:rFonts w:ascii="Arial Narrow" w:hAnsi="Arial Narrow"/>
                <w:color w:val="000000"/>
                <w:sz w:val="18"/>
                <w:szCs w:val="18"/>
              </w:rPr>
              <w:t xml:space="preserve"> </w:t>
            </w:r>
            <w:r w:rsidRPr="00B31EC7">
              <w:rPr>
                <w:rFonts w:ascii="Arial Narrow" w:hAnsi="Arial Narrow"/>
                <w:color w:val="000000"/>
                <w:sz w:val="18"/>
                <w:szCs w:val="18"/>
              </w:rPr>
              <w:t>7,949,750</w:t>
            </w:r>
          </w:p>
        </w:tc>
        <w:tc>
          <w:tcPr>
            <w:tcW w:w="850" w:type="dxa"/>
            <w:tcBorders>
              <w:top w:val="nil"/>
              <w:left w:val="nil"/>
              <w:bottom w:val="nil"/>
              <w:right w:val="single" w:sz="4" w:space="0" w:color="auto"/>
            </w:tcBorders>
            <w:shd w:val="clear" w:color="000000" w:fill="FFFFFF"/>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(5%)</w:t>
            </w:r>
          </w:p>
        </w:tc>
        <w:tc>
          <w:tcPr>
            <w:tcW w:w="1417"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07425F">
            <w:pPr>
              <w:spacing w:before="0"/>
              <w:jc w:val="center"/>
              <w:rPr>
                <w:rFonts w:ascii="Arial Narrow" w:hAnsi="Arial Narrow"/>
                <w:color w:val="000000"/>
                <w:sz w:val="18"/>
                <w:szCs w:val="18"/>
              </w:rPr>
            </w:pPr>
            <w:r w:rsidRPr="00B31EC7">
              <w:rPr>
                <w:rFonts w:ascii="Arial Narrow" w:hAnsi="Arial Narrow"/>
                <w:color w:val="000000"/>
                <w:sz w:val="18"/>
                <w:szCs w:val="18"/>
              </w:rPr>
              <w:t>Forecast not met.</w:t>
            </w:r>
            <w:r w:rsidRPr="00B31EC7">
              <w:rPr>
                <w:rFonts w:ascii="Arial Narrow" w:hAnsi="Arial Narrow"/>
                <w:color w:val="000000"/>
                <w:sz w:val="18"/>
                <w:szCs w:val="18"/>
              </w:rPr>
              <w:br/>
              <w:t>Budgets for the F</w:t>
            </w:r>
            <w:r w:rsidR="002F2F7A">
              <w:rPr>
                <w:rFonts w:ascii="Arial Narrow" w:hAnsi="Arial Narrow"/>
                <w:color w:val="000000"/>
                <w:sz w:val="18"/>
                <w:szCs w:val="18"/>
              </w:rPr>
              <w:t>l</w:t>
            </w:r>
            <w:r w:rsidRPr="00B31EC7">
              <w:rPr>
                <w:rFonts w:ascii="Arial Narrow" w:hAnsi="Arial Narrow"/>
                <w:color w:val="000000"/>
                <w:sz w:val="18"/>
                <w:szCs w:val="18"/>
              </w:rPr>
              <w:t>exible funding portfolio and Earthquake support were not fully utilised</w:t>
            </w:r>
          </w:p>
        </w:tc>
      </w:tr>
      <w:tr w:rsidR="00B31EC7" w:rsidRPr="00B31EC7" w:rsidTr="002F2F7A">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xml:space="preserve">Quantity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r>
      <w:tr w:rsidR="00B31EC7" w:rsidRPr="00B31EC7" w:rsidTr="002F2F7A">
        <w:tc>
          <w:tcPr>
            <w:tcW w:w="1928" w:type="dxa"/>
            <w:tcBorders>
              <w:top w:val="nil"/>
              <w:left w:val="single" w:sz="4" w:space="0" w:color="auto"/>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left"/>
              <w:rPr>
                <w:rFonts w:ascii="Arial Narrow" w:hAnsi="Arial Narrow"/>
                <w:color w:val="000000"/>
                <w:sz w:val="18"/>
                <w:szCs w:val="18"/>
              </w:rPr>
            </w:pPr>
            <w:r w:rsidRPr="00B31EC7">
              <w:rPr>
                <w:rFonts w:ascii="Arial Narrow" w:hAnsi="Arial Narrow"/>
                <w:color w:val="000000"/>
                <w:sz w:val="18"/>
                <w:szCs w:val="18"/>
              </w:rPr>
              <w:t>Number of projects funded</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504</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584</w:t>
            </w:r>
          </w:p>
        </w:tc>
        <w:tc>
          <w:tcPr>
            <w:tcW w:w="1021"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529</w:t>
            </w:r>
          </w:p>
        </w:tc>
        <w:tc>
          <w:tcPr>
            <w:tcW w:w="1020"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450</w:t>
            </w:r>
          </w:p>
        </w:tc>
        <w:tc>
          <w:tcPr>
            <w:tcW w:w="1020"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460</w:t>
            </w:r>
          </w:p>
        </w:tc>
        <w:tc>
          <w:tcPr>
            <w:tcW w:w="850" w:type="dxa"/>
            <w:tcBorders>
              <w:top w:val="nil"/>
              <w:left w:val="nil"/>
              <w:bottom w:val="nil"/>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2%</w:t>
            </w:r>
          </w:p>
        </w:tc>
        <w:tc>
          <w:tcPr>
            <w:tcW w:w="1417"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Forecast met</w:t>
            </w:r>
          </w:p>
        </w:tc>
      </w:tr>
      <w:tr w:rsidR="00B31EC7" w:rsidRPr="00B31EC7" w:rsidTr="002F2F7A">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xml:space="preserve">Quality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r>
      <w:tr w:rsidR="00B31EC7" w:rsidRPr="00B31EC7" w:rsidTr="002F2F7A">
        <w:tc>
          <w:tcPr>
            <w:tcW w:w="1928" w:type="dxa"/>
            <w:tcBorders>
              <w:top w:val="nil"/>
              <w:left w:val="single" w:sz="4" w:space="0" w:color="auto"/>
              <w:bottom w:val="single" w:sz="4" w:space="0" w:color="auto"/>
              <w:right w:val="single" w:sz="4" w:space="0" w:color="auto"/>
            </w:tcBorders>
            <w:shd w:val="clear" w:color="000000" w:fill="FFFFFF"/>
            <w:vAlign w:val="center"/>
            <w:hideMark/>
          </w:tcPr>
          <w:p w:rsidR="00B31EC7" w:rsidRPr="00B31EC7" w:rsidRDefault="00B31EC7" w:rsidP="00B31EC7">
            <w:pPr>
              <w:spacing w:before="0"/>
              <w:jc w:val="left"/>
              <w:rPr>
                <w:rFonts w:ascii="Arial Narrow" w:hAnsi="Arial Narrow"/>
                <w:color w:val="000000"/>
                <w:sz w:val="18"/>
                <w:szCs w:val="18"/>
              </w:rPr>
            </w:pPr>
            <w:r w:rsidRPr="00B31EC7">
              <w:rPr>
                <w:rFonts w:ascii="Arial Narrow" w:hAnsi="Arial Narrow"/>
                <w:color w:val="000000"/>
                <w:sz w:val="18"/>
                <w:szCs w:val="18"/>
              </w:rPr>
              <w:t>Project completion rate</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99%</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99%</w:t>
            </w:r>
          </w:p>
        </w:tc>
        <w:tc>
          <w:tcPr>
            <w:tcW w:w="1021"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99%</w:t>
            </w:r>
          </w:p>
        </w:tc>
        <w:tc>
          <w:tcPr>
            <w:tcW w:w="850"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Forecast met</w:t>
            </w:r>
          </w:p>
        </w:tc>
      </w:tr>
      <w:tr w:rsidR="00B31EC7" w:rsidRPr="00B31EC7" w:rsidTr="002F2F7A">
        <w:trPr>
          <w:cantSplit/>
          <w:trHeight w:val="255"/>
        </w:trPr>
        <w:tc>
          <w:tcPr>
            <w:tcW w:w="1928" w:type="dxa"/>
            <w:tcBorders>
              <w:top w:val="nil"/>
              <w:left w:val="single" w:sz="4" w:space="0" w:color="auto"/>
              <w:bottom w:val="single" w:sz="4" w:space="0" w:color="auto"/>
              <w:right w:val="single" w:sz="4" w:space="0" w:color="auto"/>
            </w:tcBorders>
            <w:shd w:val="clear" w:color="000000" w:fill="FFFFFF"/>
            <w:vAlign w:val="center"/>
            <w:hideMark/>
          </w:tcPr>
          <w:p w:rsidR="00B31EC7" w:rsidRPr="00B31EC7" w:rsidRDefault="00B31EC7" w:rsidP="00B31EC7">
            <w:pPr>
              <w:spacing w:before="0"/>
              <w:jc w:val="left"/>
              <w:rPr>
                <w:rFonts w:ascii="Arial Narrow" w:hAnsi="Arial Narrow"/>
                <w:color w:val="000000"/>
                <w:sz w:val="18"/>
                <w:szCs w:val="18"/>
              </w:rPr>
            </w:pPr>
            <w:r w:rsidRPr="00B31EC7">
              <w:rPr>
                <w:rFonts w:ascii="Arial Narrow" w:hAnsi="Arial Narrow"/>
                <w:color w:val="000000"/>
                <w:sz w:val="18"/>
                <w:szCs w:val="18"/>
              </w:rPr>
              <w:t>Proportion of projects that meet or exceed the expectations in the approved application and the funding agreement</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98% (of the 99% of projects that were evaluated</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97% (of the 99% of projects that were evaluated)</w:t>
            </w:r>
          </w:p>
        </w:tc>
        <w:tc>
          <w:tcPr>
            <w:tcW w:w="1021"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98% (of the 99% of projects that were evaluated</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 96%</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98% (of the 86% of projects that were evaluated)</w:t>
            </w:r>
          </w:p>
        </w:tc>
        <w:tc>
          <w:tcPr>
            <w:tcW w:w="850" w:type="dxa"/>
            <w:tcBorders>
              <w:top w:val="single" w:sz="4" w:space="0" w:color="auto"/>
              <w:left w:val="nil"/>
              <w:bottom w:val="single" w:sz="4" w:space="0" w:color="auto"/>
              <w:right w:val="nil"/>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Forecast met</w:t>
            </w:r>
          </w:p>
        </w:tc>
      </w:tr>
      <w:tr w:rsidR="00B31EC7" w:rsidRPr="00B31EC7" w:rsidTr="002F2F7A">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xml:space="preserve">Timeliness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noWrap/>
            <w:vAlign w:val="center"/>
            <w:hideMark/>
          </w:tcPr>
          <w:p w:rsidR="00B31EC7" w:rsidRPr="00B31EC7" w:rsidRDefault="00B31EC7" w:rsidP="00B31EC7">
            <w:pPr>
              <w:spacing w:before="0"/>
              <w:jc w:val="left"/>
              <w:rPr>
                <w:rFonts w:ascii="Arial Narrow" w:hAnsi="Arial Narrow"/>
                <w:b/>
                <w:bCs/>
                <w:color w:val="000000"/>
                <w:sz w:val="18"/>
                <w:szCs w:val="18"/>
              </w:rPr>
            </w:pPr>
            <w:r w:rsidRPr="00B31EC7">
              <w:rPr>
                <w:rFonts w:ascii="Arial Narrow" w:hAnsi="Arial Narrow"/>
                <w:b/>
                <w:bCs/>
                <w:color w:val="000000"/>
                <w:sz w:val="18"/>
                <w:szCs w:val="18"/>
              </w:rPr>
              <w:t> </w:t>
            </w:r>
          </w:p>
        </w:tc>
      </w:tr>
      <w:tr w:rsidR="00B31EC7" w:rsidRPr="00B31EC7" w:rsidTr="002F2F7A">
        <w:trPr>
          <w:trHeight w:val="255"/>
        </w:trPr>
        <w:tc>
          <w:tcPr>
            <w:tcW w:w="1928" w:type="dxa"/>
            <w:tcBorders>
              <w:top w:val="nil"/>
              <w:left w:val="single" w:sz="4" w:space="0" w:color="auto"/>
              <w:bottom w:val="single" w:sz="4" w:space="0" w:color="auto"/>
              <w:right w:val="single" w:sz="4" w:space="0" w:color="auto"/>
            </w:tcBorders>
            <w:shd w:val="clear" w:color="000000" w:fill="FFFFFF"/>
            <w:vAlign w:val="center"/>
            <w:hideMark/>
          </w:tcPr>
          <w:p w:rsidR="00B31EC7" w:rsidRPr="00B31EC7" w:rsidRDefault="00B31EC7" w:rsidP="00B31EC7">
            <w:pPr>
              <w:spacing w:before="0"/>
              <w:jc w:val="left"/>
              <w:rPr>
                <w:rFonts w:ascii="Arial Narrow" w:hAnsi="Arial Narrow"/>
                <w:color w:val="000000"/>
                <w:sz w:val="18"/>
                <w:szCs w:val="18"/>
              </w:rPr>
            </w:pPr>
            <w:r w:rsidRPr="00B31EC7">
              <w:rPr>
                <w:rFonts w:ascii="Arial Narrow" w:hAnsi="Arial Narrow"/>
                <w:color w:val="000000"/>
                <w:sz w:val="18"/>
                <w:szCs w:val="18"/>
              </w:rPr>
              <w:t>Proportion of grants that are processed within published timeframes</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100%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100%</w:t>
            </w:r>
          </w:p>
        </w:tc>
        <w:tc>
          <w:tcPr>
            <w:tcW w:w="1021"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B31EC7" w:rsidRPr="00B31EC7" w:rsidRDefault="00B31EC7" w:rsidP="00B31EC7">
            <w:pPr>
              <w:spacing w:before="0"/>
              <w:jc w:val="center"/>
              <w:rPr>
                <w:rFonts w:ascii="Arial Narrow" w:hAnsi="Arial Narrow"/>
                <w:color w:val="000000"/>
                <w:sz w:val="18"/>
                <w:szCs w:val="18"/>
              </w:rPr>
            </w:pPr>
            <w:r w:rsidRPr="00B31EC7">
              <w:rPr>
                <w:rFonts w:ascii="Arial Narrow" w:hAnsi="Arial Narrow"/>
                <w:color w:val="000000"/>
                <w:sz w:val="18"/>
                <w:szCs w:val="18"/>
              </w:rPr>
              <w:t>Forecast met</w:t>
            </w:r>
          </w:p>
        </w:tc>
      </w:tr>
    </w:tbl>
    <w:p w:rsidR="003027E3" w:rsidRPr="006552E9" w:rsidRDefault="003027E3" w:rsidP="003027E3">
      <w:pPr>
        <w:pStyle w:val="Tabletext"/>
      </w:pPr>
    </w:p>
    <w:p w:rsidR="003027E3" w:rsidRPr="006552E9" w:rsidRDefault="003027E3" w:rsidP="003027E3">
      <w:pPr>
        <w:rPr>
          <w:highlight w:val="lightGray"/>
        </w:rPr>
      </w:pPr>
      <w:r w:rsidRPr="006552E9">
        <w:t xml:space="preserve">The decline in funding since </w:t>
      </w:r>
      <w:r w:rsidR="00540BCE" w:rsidRPr="006552E9">
        <w:t>2010/11</w:t>
      </w:r>
      <w:r w:rsidRPr="006552E9">
        <w:t xml:space="preserve"> </w:t>
      </w:r>
      <w:r w:rsidR="00A513D3">
        <w:t>shown in Figure 2</w:t>
      </w:r>
      <w:r w:rsidR="00203B9F">
        <w:t>4</w:t>
      </w:r>
      <w:r w:rsidR="00764AF2" w:rsidRPr="006552E9">
        <w:t xml:space="preserve"> </w:t>
      </w:r>
      <w:r w:rsidRPr="006552E9">
        <w:t>is attributable to the transfer of funds previously associated with the Arts and Sector Investment grants to the new Kahikatea programme</w:t>
      </w:r>
      <w:r w:rsidR="00540BCE" w:rsidRPr="006552E9">
        <w:t xml:space="preserve"> from 2012</w:t>
      </w:r>
      <w:r w:rsidRPr="006552E9">
        <w:t>, plus the end, in 2010/11, of the Independent Filmmakers’ Fund and the Smash Palace Fund.</w:t>
      </w:r>
    </w:p>
    <w:p w:rsidR="003027E3" w:rsidRPr="006552E9" w:rsidRDefault="005D6E4A" w:rsidP="003027E3">
      <w:pPr>
        <w:keepNext/>
      </w:pPr>
      <w:r>
        <w:rPr>
          <w:highlight w:val="lightGray"/>
        </w:rPr>
        <w:pict>
          <v:shape id="_x0000_i1040" type="#_x0000_t75" alt="Stacked bar graph showing the amount spent in grants and special opportunities over the last four years, by individual programme&#10;&#10;Programme 2009/10  2010/11  2011/12 2012/13&#10;Quick Response Grants  $1,107,756   $1,334,009   $1,277,810   $1,218,852 &#10;Arts Grants and Toi Ake  $4,463,018   $4,622,314   $4,827,733   $4,397,274 &#10;Arts &amp; Sector Investments, Independent Filmmakers' Fund, Sistema Aotearoa  $4,849,950   $5,002,745   $614,325   $800,000 &#10;Special Opportunities  $1,318,714   $1,001,925   $1,017,596   $1,138,610 &#10;Christchurch Earthquake Emergency Response Fund  $-     $667,532   $1,204,136   $395,014 &#10;Total $ Awarded  $11,739,438   $12,628,525   $8,941,600   $7,949,750 &#10;" style="width:297.4pt;height:272.35pt">
            <v:imagedata r:id="rId43" o:title=""/>
          </v:shape>
        </w:pict>
      </w:r>
    </w:p>
    <w:p w:rsidR="003027E3" w:rsidRPr="006552E9" w:rsidRDefault="003027E3" w:rsidP="003027E3">
      <w:pPr>
        <w:pStyle w:val="Caption"/>
        <w:jc w:val="both"/>
        <w:rPr>
          <w:highlight w:val="lightGray"/>
        </w:rPr>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24</w:t>
      </w:r>
      <w:r w:rsidR="006E1B57" w:rsidRPr="006552E9">
        <w:fldChar w:fldCharType="end"/>
      </w:r>
      <w:r w:rsidRPr="006552E9">
        <w:t>: Investment in grants and special opportunities by programme, 2009/10 to 2012/13</w:t>
      </w:r>
    </w:p>
    <w:p w:rsidR="003027E3" w:rsidRPr="006552E9" w:rsidRDefault="003027E3" w:rsidP="003027E3">
      <w:pPr>
        <w:pStyle w:val="Heading3"/>
      </w:pPr>
      <w:bookmarkStart w:id="68" w:name="_Toc373415039"/>
      <w:r w:rsidRPr="006552E9">
        <w:t>Creative Communities Scheme</w:t>
      </w:r>
      <w:bookmarkEnd w:id="68"/>
    </w:p>
    <w:p w:rsidR="003027E3" w:rsidRPr="006552E9" w:rsidRDefault="003027E3" w:rsidP="003027E3">
      <w:r w:rsidRPr="006552E9">
        <w:t>The Creative Communities Scheme is a small-grants scheme that supports community arts projects and activities taking place within the area of a territorial authority.</w:t>
      </w:r>
      <w:r w:rsidR="00175E6D" w:rsidRPr="006552E9">
        <w:t xml:space="preserve"> </w:t>
      </w:r>
      <w:r w:rsidRPr="006552E9">
        <w:t>Funding allocations are based on population size.</w:t>
      </w:r>
      <w:r w:rsidR="00175E6D" w:rsidRPr="006552E9">
        <w:t xml:space="preserve"> </w:t>
      </w:r>
    </w:p>
    <w:p w:rsidR="003027E3" w:rsidRPr="006552E9" w:rsidRDefault="003027E3" w:rsidP="003027E3">
      <w:r w:rsidRPr="006552E9">
        <w:t xml:space="preserve">Decisions under the </w:t>
      </w:r>
      <w:r w:rsidR="00A513D3" w:rsidRPr="006552E9">
        <w:t xml:space="preserve">scheme </w:t>
      </w:r>
      <w:r w:rsidRPr="006552E9">
        <w:t>are devolved to all of New Zealand’s 67 territorial authorities, which administer the scheme themselves or through suitable third parties.</w:t>
      </w:r>
      <w:r w:rsidR="00175E6D" w:rsidRPr="006552E9">
        <w:t xml:space="preserve"> </w:t>
      </w:r>
      <w:r w:rsidRPr="006552E9">
        <w:t>Local assessment committees consider applications for funding under the scheme.</w:t>
      </w:r>
      <w:r w:rsidR="00175E6D" w:rsidRPr="006552E9">
        <w:t xml:space="preserve"> </w:t>
      </w:r>
      <w:r w:rsidRPr="006552E9">
        <w:t>Funding decisions are made on the basis of criteria set by Creative New Zealand as follows:</w:t>
      </w:r>
    </w:p>
    <w:p w:rsidR="003027E3" w:rsidRPr="006552E9" w:rsidRDefault="003027E3" w:rsidP="003027E3">
      <w:pPr>
        <w:pStyle w:val="Bullet"/>
      </w:pPr>
      <w:r w:rsidRPr="006552E9">
        <w:rPr>
          <w:b/>
          <w:bCs/>
        </w:rPr>
        <w:t>Broad community involvement:</w:t>
      </w:r>
      <w:r w:rsidRPr="006552E9">
        <w:t xml:space="preserve"> The project creates opportunities for local communities to engage with and participate in arts activities</w:t>
      </w:r>
    </w:p>
    <w:p w:rsidR="003027E3" w:rsidRPr="006552E9" w:rsidRDefault="003027E3" w:rsidP="003027E3">
      <w:pPr>
        <w:pStyle w:val="Bullet"/>
      </w:pPr>
      <w:r w:rsidRPr="006552E9">
        <w:rPr>
          <w:b/>
          <w:bCs/>
        </w:rPr>
        <w:t>Diversity:</w:t>
      </w:r>
      <w:r w:rsidRPr="006552E9">
        <w:t xml:space="preserve"> The project supports the diverse arts and cultural traditions of local communities, enriching and promoting their uniqueness and cultural diversity</w:t>
      </w:r>
    </w:p>
    <w:p w:rsidR="003027E3" w:rsidRPr="006552E9" w:rsidRDefault="003027E3" w:rsidP="003027E3">
      <w:pPr>
        <w:pStyle w:val="Bullet"/>
      </w:pPr>
      <w:r w:rsidRPr="006552E9">
        <w:rPr>
          <w:b/>
          <w:bCs/>
        </w:rPr>
        <w:t>Young people:</w:t>
      </w:r>
      <w:r w:rsidRPr="006552E9">
        <w:t xml:space="preserve"> The project enables and encourages young people (under 18 years) to engage with and actively participate in the arts.</w:t>
      </w:r>
    </w:p>
    <w:p w:rsidR="003027E3" w:rsidRPr="006552E9" w:rsidRDefault="003027E3" w:rsidP="003027E3">
      <w:r w:rsidRPr="006552E9">
        <w:t xml:space="preserve">The Creative Communities Scheme directly supports </w:t>
      </w:r>
      <w:r w:rsidRPr="006552E9">
        <w:rPr>
          <w:b/>
        </w:rPr>
        <w:t xml:space="preserve">Outcome 1: </w:t>
      </w:r>
      <w:r w:rsidRPr="006552E9">
        <w:rPr>
          <w:b/>
          <w:bCs/>
        </w:rPr>
        <w:t>New Zealanders participate in the arts</w:t>
      </w:r>
      <w:r w:rsidRPr="006552E9">
        <w:t>.</w:t>
      </w:r>
    </w:p>
    <w:p w:rsidR="001B4AC3" w:rsidRPr="006552E9" w:rsidRDefault="001B4AC3" w:rsidP="003027E3"/>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9</w:t>
      </w:r>
      <w:r w:rsidR="006E1B57" w:rsidRPr="006552E9">
        <w:fldChar w:fldCharType="end"/>
      </w:r>
      <w:r w:rsidRPr="006552E9">
        <w:t>: Proof of performance, Creative Communities Scheme, 2009/10 to 2012/13</w:t>
      </w:r>
    </w:p>
    <w:tbl>
      <w:tblPr>
        <w:tblW w:w="9298" w:type="dxa"/>
        <w:tblInd w:w="93" w:type="dxa"/>
        <w:tblCellMar>
          <w:top w:w="28" w:type="dxa"/>
          <w:left w:w="57" w:type="dxa"/>
          <w:bottom w:w="28" w:type="dxa"/>
          <w:right w:w="57" w:type="dxa"/>
        </w:tblCellMar>
        <w:tblLook w:val="04A0" w:firstRow="1" w:lastRow="0" w:firstColumn="1" w:lastColumn="0" w:noHBand="0" w:noVBand="1"/>
      </w:tblPr>
      <w:tblGrid>
        <w:gridCol w:w="1928"/>
        <w:gridCol w:w="1020"/>
        <w:gridCol w:w="1020"/>
        <w:gridCol w:w="1021"/>
        <w:gridCol w:w="1020"/>
        <w:gridCol w:w="1020"/>
        <w:gridCol w:w="850"/>
        <w:gridCol w:w="1419"/>
      </w:tblGrid>
      <w:tr w:rsidR="002F2F7A" w:rsidRPr="002F2F7A" w:rsidTr="002F2F7A">
        <w:trPr>
          <w:trHeight w:val="255"/>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xml:space="preserve">Past </w:t>
            </w:r>
            <w:r w:rsidR="00A513D3" w:rsidRPr="002F2F7A">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xml:space="preserve">Current </w:t>
            </w:r>
            <w:r w:rsidR="00A513D3" w:rsidRPr="002F2F7A">
              <w:rPr>
                <w:rFonts w:ascii="Arial Narrow" w:hAnsi="Arial Narrow"/>
                <w:b/>
                <w:bCs/>
                <w:color w:val="000000"/>
                <w:sz w:val="18"/>
                <w:szCs w:val="18"/>
              </w:rPr>
              <w:t>performance</w:t>
            </w:r>
          </w:p>
        </w:tc>
      </w:tr>
      <w:tr w:rsidR="002F2F7A" w:rsidRPr="002F2F7A" w:rsidTr="002F2F7A">
        <w:trPr>
          <w:trHeight w:val="255"/>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2F2F7A" w:rsidRPr="002F2F7A" w:rsidRDefault="002F2F7A" w:rsidP="002F2F7A">
            <w:pPr>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2009/10 Actual</w:t>
            </w:r>
          </w:p>
        </w:tc>
        <w:tc>
          <w:tcPr>
            <w:tcW w:w="1020" w:type="dxa"/>
            <w:tcBorders>
              <w:top w:val="nil"/>
              <w:left w:val="nil"/>
              <w:bottom w:val="single" w:sz="4" w:space="0" w:color="auto"/>
              <w:right w:val="single" w:sz="4" w:space="0" w:color="auto"/>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2010/11 Actual</w:t>
            </w:r>
          </w:p>
        </w:tc>
        <w:tc>
          <w:tcPr>
            <w:tcW w:w="1021" w:type="dxa"/>
            <w:tcBorders>
              <w:top w:val="nil"/>
              <w:left w:val="nil"/>
              <w:bottom w:val="single" w:sz="4" w:space="0" w:color="auto"/>
              <w:right w:val="nil"/>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xml:space="preserve">2011/12 Actual </w:t>
            </w:r>
          </w:p>
        </w:tc>
        <w:tc>
          <w:tcPr>
            <w:tcW w:w="1020" w:type="dxa"/>
            <w:tcBorders>
              <w:top w:val="nil"/>
              <w:left w:val="single" w:sz="4" w:space="0" w:color="auto"/>
              <w:bottom w:val="single" w:sz="4" w:space="0" w:color="auto"/>
              <w:right w:val="single" w:sz="4" w:space="0" w:color="auto"/>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xml:space="preserve">2012/13 Actual </w:t>
            </w:r>
            <w:r w:rsidR="00A513D3" w:rsidRPr="002F2F7A">
              <w:rPr>
                <w:rFonts w:ascii="Arial Narrow" w:hAnsi="Arial Narrow"/>
                <w:b/>
                <w:bCs/>
                <w:color w:val="000000"/>
                <w:sz w:val="18"/>
                <w:szCs w:val="18"/>
              </w:rPr>
              <w:t>year to date</w:t>
            </w:r>
          </w:p>
        </w:tc>
        <w:tc>
          <w:tcPr>
            <w:tcW w:w="850" w:type="dxa"/>
            <w:tcBorders>
              <w:top w:val="nil"/>
              <w:left w:val="single" w:sz="4" w:space="0" w:color="auto"/>
              <w:bottom w:val="nil"/>
              <w:right w:val="single" w:sz="4" w:space="0" w:color="auto"/>
            </w:tcBorders>
            <w:shd w:val="clear" w:color="000000" w:fill="B8CCE4"/>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xml:space="preserve">Variance to </w:t>
            </w:r>
            <w:r w:rsidR="00A513D3" w:rsidRPr="002F2F7A">
              <w:rPr>
                <w:rFonts w:ascii="Arial Narrow" w:hAnsi="Arial Narrow"/>
                <w:b/>
                <w:bCs/>
                <w:color w:val="000000"/>
                <w:sz w:val="18"/>
                <w:szCs w:val="18"/>
              </w:rPr>
              <w:t xml:space="preserve">forecast </w:t>
            </w:r>
            <w:r w:rsidRPr="002F2F7A">
              <w:rPr>
                <w:rFonts w:ascii="Arial Narrow" w:hAnsi="Arial Narrow"/>
                <w:b/>
                <w:bCs/>
                <w:color w:val="000000"/>
                <w:sz w:val="18"/>
                <w:szCs w:val="18"/>
              </w:rPr>
              <w:br/>
              <w:t>(+/-%)</w:t>
            </w:r>
          </w:p>
        </w:tc>
        <w:tc>
          <w:tcPr>
            <w:tcW w:w="1417" w:type="dxa"/>
            <w:tcBorders>
              <w:top w:val="nil"/>
              <w:left w:val="nil"/>
              <w:bottom w:val="nil"/>
              <w:right w:val="single" w:sz="4" w:space="0" w:color="auto"/>
            </w:tcBorders>
            <w:shd w:val="clear" w:color="000000" w:fill="B8CCE4"/>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Notes</w:t>
            </w:r>
          </w:p>
        </w:tc>
      </w:tr>
      <w:tr w:rsidR="002F2F7A" w:rsidRPr="002F2F7A" w:rsidTr="002F2F7A">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Expenditure</w:t>
            </w:r>
          </w:p>
        </w:tc>
        <w:tc>
          <w:tcPr>
            <w:tcW w:w="1020" w:type="dxa"/>
            <w:tcBorders>
              <w:top w:val="nil"/>
              <w:left w:val="nil"/>
              <w:bottom w:val="nil"/>
              <w:right w:val="nil"/>
            </w:tcBorders>
            <w:shd w:val="clear" w:color="000000" w:fill="DCE6F1"/>
            <w:noWrap/>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nil"/>
              <w:right w:val="nil"/>
            </w:tcBorders>
            <w:shd w:val="clear" w:color="000000" w:fill="DCE6F1"/>
            <w:noWrap/>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1" w:type="dxa"/>
            <w:tcBorders>
              <w:top w:val="nil"/>
              <w:left w:val="nil"/>
              <w:bottom w:val="nil"/>
              <w:right w:val="nil"/>
            </w:tcBorders>
            <w:shd w:val="clear" w:color="000000" w:fill="DCE6F1"/>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nil"/>
              <w:right w:val="nil"/>
            </w:tcBorders>
            <w:shd w:val="clear" w:color="000000" w:fill="DCE6F1"/>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nil"/>
              <w:right w:val="nil"/>
            </w:tcBorders>
            <w:shd w:val="clear" w:color="000000" w:fill="DCE6F1"/>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c>
          <w:tcPr>
            <w:tcW w:w="850" w:type="dxa"/>
            <w:tcBorders>
              <w:top w:val="single" w:sz="4" w:space="0" w:color="auto"/>
              <w:left w:val="nil"/>
              <w:bottom w:val="nil"/>
              <w:right w:val="nil"/>
            </w:tcBorders>
            <w:shd w:val="clear" w:color="000000" w:fill="DCE6F1"/>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rsidR="002F2F7A" w:rsidRPr="002F2F7A" w:rsidRDefault="002F2F7A" w:rsidP="002F2F7A">
            <w:pPr>
              <w:spacing w:before="0"/>
              <w:jc w:val="center"/>
              <w:rPr>
                <w:rFonts w:ascii="Arial Narrow" w:hAnsi="Arial Narrow"/>
                <w:b/>
                <w:bCs/>
                <w:color w:val="000000"/>
                <w:sz w:val="18"/>
                <w:szCs w:val="18"/>
              </w:rPr>
            </w:pPr>
            <w:r w:rsidRPr="002F2F7A">
              <w:rPr>
                <w:rFonts w:ascii="Arial Narrow" w:hAnsi="Arial Narrow"/>
                <w:b/>
                <w:bCs/>
                <w:color w:val="000000"/>
                <w:sz w:val="18"/>
                <w:szCs w:val="18"/>
              </w:rPr>
              <w:t> </w:t>
            </w:r>
          </w:p>
        </w:tc>
      </w:tr>
      <w:tr w:rsidR="002F2F7A" w:rsidRPr="002F2F7A" w:rsidTr="002F2F7A">
        <w:tc>
          <w:tcPr>
            <w:tcW w:w="1928" w:type="dxa"/>
            <w:tcBorders>
              <w:top w:val="nil"/>
              <w:left w:val="single" w:sz="4" w:space="0" w:color="auto"/>
              <w:bottom w:val="single" w:sz="4" w:space="0" w:color="auto"/>
              <w:right w:val="nil"/>
            </w:tcBorders>
            <w:shd w:val="clear" w:color="000000" w:fill="FFFFFF"/>
            <w:vAlign w:val="center"/>
            <w:hideMark/>
          </w:tcPr>
          <w:p w:rsidR="002F2F7A" w:rsidRPr="002F2F7A" w:rsidRDefault="002F2F7A" w:rsidP="002F2F7A">
            <w:pPr>
              <w:spacing w:before="0"/>
              <w:jc w:val="left"/>
              <w:rPr>
                <w:rFonts w:ascii="Arial Narrow" w:hAnsi="Arial Narrow"/>
                <w:color w:val="000000"/>
                <w:sz w:val="18"/>
                <w:szCs w:val="18"/>
              </w:rPr>
            </w:pPr>
            <w:r w:rsidRPr="002F2F7A">
              <w:rPr>
                <w:rFonts w:ascii="Arial Narrow" w:hAnsi="Arial Narrow"/>
                <w:color w:val="000000"/>
                <w:sz w:val="18"/>
                <w:szCs w:val="18"/>
              </w:rPr>
              <w:t>Creative New Zealand budget</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2,800,450</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2,862,181</w:t>
            </w:r>
          </w:p>
        </w:tc>
        <w:tc>
          <w:tcPr>
            <w:tcW w:w="1021" w:type="dxa"/>
            <w:tcBorders>
              <w:top w:val="single" w:sz="4" w:space="0" w:color="auto"/>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3,310,725</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3,263,500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3,227,191</w:t>
            </w:r>
          </w:p>
        </w:tc>
        <w:tc>
          <w:tcPr>
            <w:tcW w:w="850" w:type="dxa"/>
            <w:tcBorders>
              <w:top w:val="single" w:sz="4" w:space="0" w:color="auto"/>
              <w:left w:val="nil"/>
              <w:bottom w:val="nil"/>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Forecast met</w:t>
            </w:r>
          </w:p>
        </w:tc>
      </w:tr>
      <w:tr w:rsidR="002F2F7A" w:rsidRPr="002F2F7A" w:rsidTr="002F2F7A">
        <w:tc>
          <w:tcPr>
            <w:tcW w:w="1928" w:type="dxa"/>
            <w:tcBorders>
              <w:top w:val="nil"/>
              <w:left w:val="single" w:sz="4" w:space="0" w:color="auto"/>
              <w:bottom w:val="single" w:sz="4" w:space="0" w:color="auto"/>
              <w:right w:val="nil"/>
            </w:tcBorders>
            <w:shd w:val="clear" w:color="000000" w:fill="FFFFFF"/>
            <w:noWrap/>
            <w:vAlign w:val="center"/>
            <w:hideMark/>
          </w:tcPr>
          <w:p w:rsidR="002F2F7A" w:rsidRPr="002F2F7A" w:rsidRDefault="002F2F7A" w:rsidP="002F2F7A">
            <w:pPr>
              <w:spacing w:before="0"/>
              <w:jc w:val="left"/>
              <w:rPr>
                <w:rFonts w:ascii="Arial Narrow" w:hAnsi="Arial Narrow"/>
                <w:color w:val="000000"/>
                <w:sz w:val="18"/>
                <w:szCs w:val="18"/>
              </w:rPr>
            </w:pPr>
            <w:r w:rsidRPr="002F2F7A">
              <w:rPr>
                <w:rFonts w:ascii="Arial Narrow" w:hAnsi="Arial Narrow"/>
                <w:color w:val="000000"/>
                <w:sz w:val="18"/>
                <w:szCs w:val="18"/>
              </w:rPr>
              <w:t>Value of grants awarded</w:t>
            </w:r>
          </w:p>
        </w:tc>
        <w:tc>
          <w:tcPr>
            <w:tcW w:w="1020" w:type="dxa"/>
            <w:tcBorders>
              <w:top w:val="nil"/>
              <w:left w:val="single" w:sz="4" w:space="0" w:color="auto"/>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2,924,322</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2,838,818</w:t>
            </w:r>
          </w:p>
        </w:tc>
        <w:tc>
          <w:tcPr>
            <w:tcW w:w="1021"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3,276,794</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3,263,500</w:t>
            </w:r>
          </w:p>
        </w:tc>
        <w:tc>
          <w:tcPr>
            <w:tcW w:w="1020" w:type="dxa"/>
            <w:tcBorders>
              <w:top w:val="nil"/>
              <w:left w:val="nil"/>
              <w:bottom w:val="nil"/>
              <w:right w:val="nil"/>
            </w:tcBorders>
            <w:shd w:val="clear" w:color="000000" w:fill="FFFFFF"/>
            <w:noWrap/>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w:t>
            </w:r>
            <w:r w:rsidR="0007425F">
              <w:rPr>
                <w:rFonts w:ascii="Arial Narrow" w:hAnsi="Arial Narrow"/>
                <w:color w:val="000000"/>
                <w:sz w:val="18"/>
                <w:szCs w:val="18"/>
              </w:rPr>
              <w:t xml:space="preserve"> </w:t>
            </w:r>
            <w:r w:rsidRPr="002F2F7A">
              <w:rPr>
                <w:rFonts w:ascii="Arial Narrow" w:hAnsi="Arial Narrow"/>
                <w:color w:val="000000"/>
                <w:sz w:val="18"/>
                <w:szCs w:val="18"/>
              </w:rPr>
              <w:t>3,161,657</w:t>
            </w:r>
          </w:p>
        </w:tc>
        <w:tc>
          <w:tcPr>
            <w:tcW w:w="850" w:type="dxa"/>
            <w:tcBorders>
              <w:top w:val="single" w:sz="4" w:space="0" w:color="auto"/>
              <w:left w:val="single" w:sz="4" w:space="0" w:color="auto"/>
              <w:bottom w:val="nil"/>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(3%)</w:t>
            </w:r>
          </w:p>
        </w:tc>
        <w:tc>
          <w:tcPr>
            <w:tcW w:w="1417"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07425F">
            <w:pPr>
              <w:spacing w:before="0"/>
              <w:jc w:val="center"/>
              <w:rPr>
                <w:rFonts w:ascii="Arial Narrow" w:hAnsi="Arial Narrow"/>
                <w:color w:val="000000"/>
                <w:sz w:val="18"/>
                <w:szCs w:val="18"/>
              </w:rPr>
            </w:pPr>
            <w:r w:rsidRPr="002F2F7A">
              <w:rPr>
                <w:rFonts w:ascii="Arial Narrow" w:hAnsi="Arial Narrow"/>
                <w:color w:val="000000"/>
                <w:sz w:val="18"/>
                <w:szCs w:val="18"/>
              </w:rPr>
              <w:t>Forecast met</w:t>
            </w:r>
          </w:p>
        </w:tc>
      </w:tr>
      <w:tr w:rsidR="002F2F7A" w:rsidRPr="002F2F7A" w:rsidTr="002F2F7A">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xml:space="preserve">Quantity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single" w:sz="4" w:space="0" w:color="auto"/>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r>
      <w:tr w:rsidR="002F2F7A" w:rsidRPr="002F2F7A" w:rsidTr="002F2F7A">
        <w:trPr>
          <w:trHeight w:val="255"/>
        </w:trPr>
        <w:tc>
          <w:tcPr>
            <w:tcW w:w="1928" w:type="dxa"/>
            <w:tcBorders>
              <w:top w:val="nil"/>
              <w:left w:val="single" w:sz="4" w:space="0" w:color="auto"/>
              <w:bottom w:val="single" w:sz="4" w:space="0" w:color="auto"/>
              <w:right w:val="single" w:sz="4" w:space="0" w:color="auto"/>
            </w:tcBorders>
            <w:shd w:val="clear" w:color="000000" w:fill="FFFFFF"/>
            <w:vAlign w:val="center"/>
            <w:hideMark/>
          </w:tcPr>
          <w:p w:rsidR="002F2F7A" w:rsidRPr="002F2F7A" w:rsidRDefault="002F2F7A" w:rsidP="002F2F7A">
            <w:pPr>
              <w:spacing w:before="0"/>
              <w:jc w:val="left"/>
              <w:rPr>
                <w:rFonts w:ascii="Arial Narrow" w:hAnsi="Arial Narrow"/>
                <w:color w:val="000000"/>
                <w:sz w:val="18"/>
                <w:szCs w:val="18"/>
              </w:rPr>
            </w:pPr>
            <w:r w:rsidRPr="002F2F7A">
              <w:rPr>
                <w:rFonts w:ascii="Arial Narrow" w:hAnsi="Arial Narrow"/>
                <w:color w:val="000000"/>
                <w:sz w:val="18"/>
                <w:szCs w:val="18"/>
              </w:rPr>
              <w:t xml:space="preserve">Number of territorial authorities (TAs) contracted to manage the </w:t>
            </w:r>
            <w:r w:rsidR="00A513D3" w:rsidRPr="002F2F7A">
              <w:rPr>
                <w:rFonts w:ascii="Arial Narrow" w:hAnsi="Arial Narrow"/>
                <w:color w:val="000000"/>
                <w:sz w:val="18"/>
                <w:szCs w:val="18"/>
              </w:rPr>
              <w:t xml:space="preserve">scheme </w:t>
            </w:r>
            <w:r w:rsidRPr="002F2F7A">
              <w:rPr>
                <w:rFonts w:ascii="Arial Narrow" w:hAnsi="Arial Narrow"/>
                <w:color w:val="000000"/>
                <w:sz w:val="18"/>
                <w:szCs w:val="18"/>
              </w:rPr>
              <w:t>in their area</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73</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67</w:t>
            </w:r>
          </w:p>
        </w:tc>
        <w:tc>
          <w:tcPr>
            <w:tcW w:w="1021"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67</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67</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67</w:t>
            </w:r>
          </w:p>
        </w:tc>
        <w:tc>
          <w:tcPr>
            <w:tcW w:w="85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0%</w:t>
            </w:r>
          </w:p>
        </w:tc>
        <w:tc>
          <w:tcPr>
            <w:tcW w:w="1417"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Forecast met</w:t>
            </w:r>
          </w:p>
        </w:tc>
      </w:tr>
      <w:tr w:rsidR="002F2F7A" w:rsidRPr="002F2F7A" w:rsidTr="002F2F7A">
        <w:trPr>
          <w:trHeight w:val="255"/>
        </w:trPr>
        <w:tc>
          <w:tcPr>
            <w:tcW w:w="1928" w:type="dxa"/>
            <w:tcBorders>
              <w:top w:val="nil"/>
              <w:left w:val="single" w:sz="4" w:space="0" w:color="auto"/>
              <w:bottom w:val="single" w:sz="4" w:space="0" w:color="auto"/>
              <w:right w:val="single" w:sz="4" w:space="0" w:color="auto"/>
            </w:tcBorders>
            <w:shd w:val="clear" w:color="000000" w:fill="FFFFFF"/>
            <w:vAlign w:val="center"/>
            <w:hideMark/>
          </w:tcPr>
          <w:p w:rsidR="002F2F7A" w:rsidRPr="002F2F7A" w:rsidRDefault="002F2F7A" w:rsidP="002F2F7A">
            <w:pPr>
              <w:spacing w:before="0"/>
              <w:jc w:val="left"/>
              <w:rPr>
                <w:rFonts w:ascii="Arial Narrow" w:hAnsi="Arial Narrow"/>
                <w:color w:val="000000"/>
                <w:sz w:val="18"/>
                <w:szCs w:val="18"/>
              </w:rPr>
            </w:pPr>
            <w:r w:rsidRPr="002F2F7A">
              <w:rPr>
                <w:rFonts w:ascii="Arial Narrow" w:hAnsi="Arial Narrow"/>
                <w:color w:val="000000"/>
                <w:sz w:val="18"/>
                <w:szCs w:val="18"/>
              </w:rPr>
              <w:t>Number of projects funded</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2,418</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1,725</w:t>
            </w:r>
          </w:p>
        </w:tc>
        <w:tc>
          <w:tcPr>
            <w:tcW w:w="1021"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1,839</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 xml:space="preserve"> ≥ 1,800 </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1,777</w:t>
            </w:r>
          </w:p>
        </w:tc>
        <w:tc>
          <w:tcPr>
            <w:tcW w:w="850" w:type="dxa"/>
            <w:tcBorders>
              <w:top w:val="nil"/>
              <w:left w:val="nil"/>
              <w:bottom w:val="nil"/>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(1%)</w:t>
            </w:r>
          </w:p>
        </w:tc>
        <w:tc>
          <w:tcPr>
            <w:tcW w:w="1417"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Forecast met</w:t>
            </w:r>
          </w:p>
        </w:tc>
      </w:tr>
      <w:tr w:rsidR="002F2F7A" w:rsidRPr="002F2F7A" w:rsidTr="002F2F7A">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Quality</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2F2F7A" w:rsidRPr="002F2F7A" w:rsidRDefault="002F2F7A" w:rsidP="002F2F7A">
            <w:pPr>
              <w:spacing w:before="0"/>
              <w:jc w:val="left"/>
              <w:rPr>
                <w:rFonts w:ascii="Arial Narrow" w:hAnsi="Arial Narrow"/>
                <w:b/>
                <w:bCs/>
                <w:color w:val="000000"/>
                <w:sz w:val="18"/>
                <w:szCs w:val="18"/>
              </w:rPr>
            </w:pPr>
            <w:r w:rsidRPr="002F2F7A">
              <w:rPr>
                <w:rFonts w:ascii="Arial Narrow" w:hAnsi="Arial Narrow"/>
                <w:b/>
                <w:bCs/>
                <w:color w:val="000000"/>
                <w:sz w:val="18"/>
                <w:szCs w:val="18"/>
              </w:rPr>
              <w:t> </w:t>
            </w:r>
          </w:p>
        </w:tc>
      </w:tr>
      <w:tr w:rsidR="002F2F7A" w:rsidRPr="002F2F7A" w:rsidTr="002F2F7A">
        <w:trPr>
          <w:trHeight w:val="255"/>
        </w:trPr>
        <w:tc>
          <w:tcPr>
            <w:tcW w:w="1928" w:type="dxa"/>
            <w:tcBorders>
              <w:top w:val="nil"/>
              <w:left w:val="single" w:sz="4" w:space="0" w:color="auto"/>
              <w:bottom w:val="single" w:sz="4" w:space="0" w:color="auto"/>
              <w:right w:val="single" w:sz="4" w:space="0" w:color="auto"/>
            </w:tcBorders>
            <w:shd w:val="clear" w:color="000000" w:fill="FFFFFF"/>
            <w:vAlign w:val="center"/>
            <w:hideMark/>
          </w:tcPr>
          <w:p w:rsidR="002F2F7A" w:rsidRPr="002F2F7A" w:rsidRDefault="002F2F7A" w:rsidP="002F2F7A">
            <w:pPr>
              <w:spacing w:before="0"/>
              <w:jc w:val="left"/>
              <w:rPr>
                <w:rFonts w:ascii="Arial Narrow" w:hAnsi="Arial Narrow"/>
                <w:color w:val="000000"/>
                <w:sz w:val="18"/>
                <w:szCs w:val="18"/>
              </w:rPr>
            </w:pPr>
            <w:r w:rsidRPr="002F2F7A">
              <w:rPr>
                <w:rFonts w:ascii="Arial Narrow" w:hAnsi="Arial Narrow"/>
                <w:color w:val="000000"/>
                <w:sz w:val="18"/>
                <w:szCs w:val="18"/>
              </w:rPr>
              <w:t xml:space="preserve">Proportion of TAs that meet the requirements of their contracts as administrators of the </w:t>
            </w:r>
            <w:r w:rsidR="00A513D3" w:rsidRPr="002F2F7A">
              <w:rPr>
                <w:rFonts w:ascii="Arial Narrow" w:hAnsi="Arial Narrow"/>
                <w:color w:val="000000"/>
                <w:sz w:val="18"/>
                <w:szCs w:val="18"/>
              </w:rPr>
              <w:t>scheme</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93%</w:t>
            </w:r>
          </w:p>
        </w:tc>
        <w:tc>
          <w:tcPr>
            <w:tcW w:w="1020" w:type="dxa"/>
            <w:tcBorders>
              <w:top w:val="nil"/>
              <w:left w:val="nil"/>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93%</w:t>
            </w:r>
          </w:p>
        </w:tc>
        <w:tc>
          <w:tcPr>
            <w:tcW w:w="1021" w:type="dxa"/>
            <w:tcBorders>
              <w:top w:val="nil"/>
              <w:left w:val="nil"/>
              <w:bottom w:val="single" w:sz="4" w:space="0" w:color="auto"/>
              <w:right w:val="single" w:sz="4" w:space="0" w:color="auto"/>
            </w:tcBorders>
            <w:shd w:val="clear" w:color="000000" w:fill="FFFFFF"/>
            <w:noWrap/>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000000" w:fill="FFFFFF"/>
            <w:noWrap/>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 95%</w:t>
            </w:r>
          </w:p>
        </w:tc>
        <w:tc>
          <w:tcPr>
            <w:tcW w:w="1020" w:type="dxa"/>
            <w:tcBorders>
              <w:top w:val="nil"/>
              <w:left w:val="nil"/>
              <w:bottom w:val="single" w:sz="4" w:space="0" w:color="auto"/>
              <w:right w:val="nil"/>
            </w:tcBorders>
            <w:shd w:val="clear" w:color="000000" w:fill="FFFFFF"/>
            <w:noWrap/>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98%</w:t>
            </w:r>
          </w:p>
        </w:tc>
        <w:tc>
          <w:tcPr>
            <w:tcW w:w="850" w:type="dxa"/>
            <w:tcBorders>
              <w:top w:val="nil"/>
              <w:left w:val="single" w:sz="4" w:space="0" w:color="auto"/>
              <w:bottom w:val="single" w:sz="4" w:space="0" w:color="auto"/>
              <w:right w:val="nil"/>
            </w:tcBorders>
            <w:shd w:val="clear" w:color="000000" w:fill="FFFFFF"/>
            <w:noWrap/>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2F2F7A" w:rsidRPr="002F2F7A" w:rsidRDefault="002F2F7A" w:rsidP="002F2F7A">
            <w:pPr>
              <w:spacing w:before="0"/>
              <w:jc w:val="center"/>
              <w:rPr>
                <w:rFonts w:ascii="Arial Narrow" w:hAnsi="Arial Narrow"/>
                <w:color w:val="000000"/>
                <w:sz w:val="18"/>
                <w:szCs w:val="18"/>
              </w:rPr>
            </w:pPr>
            <w:r w:rsidRPr="002F2F7A">
              <w:rPr>
                <w:rFonts w:ascii="Arial Narrow" w:hAnsi="Arial Narrow"/>
                <w:color w:val="000000"/>
                <w:sz w:val="18"/>
                <w:szCs w:val="18"/>
              </w:rPr>
              <w:t>Forecast met</w:t>
            </w:r>
          </w:p>
        </w:tc>
      </w:tr>
    </w:tbl>
    <w:p w:rsidR="003027E3" w:rsidRPr="006552E9" w:rsidRDefault="003027E3" w:rsidP="003027E3">
      <w:pPr>
        <w:pStyle w:val="Tabletext"/>
        <w:rPr>
          <w:highlight w:val="lightGray"/>
        </w:rPr>
      </w:pPr>
    </w:p>
    <w:p w:rsidR="003027E3" w:rsidRPr="006552E9" w:rsidRDefault="003027E3" w:rsidP="003027E3">
      <w:r w:rsidRPr="006552E9">
        <w:t xml:space="preserve">Figure </w:t>
      </w:r>
      <w:r w:rsidR="00901445">
        <w:t>2</w:t>
      </w:r>
      <w:r w:rsidR="00203B9F">
        <w:t>5</w:t>
      </w:r>
      <w:r w:rsidRPr="006552E9">
        <w:t xml:space="preserve"> shows the budget provided by Creative New Zealand and the number and dollar value of the grants awarded.</w:t>
      </w:r>
      <w:r w:rsidR="00175E6D" w:rsidRPr="006552E9">
        <w:t xml:space="preserve"> </w:t>
      </w:r>
      <w:r w:rsidRPr="006552E9">
        <w:t>The decline in the number of grants in 2010/11 is attributable to the removal of a funding cap, which has allowed territorial authorities to make fewer but larger grants.</w:t>
      </w:r>
      <w:r w:rsidR="00175E6D" w:rsidRPr="006552E9">
        <w:t xml:space="preserve"> </w:t>
      </w:r>
      <w:r w:rsidRPr="006552E9">
        <w:t>The average grant value has increased from $1,209 in 2009/10 to $1,779 in 2012/13.</w:t>
      </w:r>
    </w:p>
    <w:p w:rsidR="003027E3" w:rsidRPr="006552E9" w:rsidRDefault="003027E3" w:rsidP="003027E3">
      <w:r w:rsidRPr="006552E9">
        <w:t>Some territorial authorities supplement the funds in the scheme</w:t>
      </w:r>
      <w:r w:rsidR="00A513D3">
        <w:t>,</w:t>
      </w:r>
      <w:r w:rsidRPr="006552E9">
        <w:t xml:space="preserve"> and unspent funds may, with Creative New Zealand’s permission, be rolled over from one year to the following.</w:t>
      </w:r>
    </w:p>
    <w:p w:rsidR="003027E3" w:rsidRPr="006552E9" w:rsidRDefault="005D6E4A" w:rsidP="003027E3">
      <w:pPr>
        <w:keepNext/>
      </w:pPr>
      <w:r>
        <w:rPr>
          <w:highlight w:val="lightGray"/>
        </w:rPr>
        <w:pict>
          <v:shape id="_x0000_i1041" type="#_x0000_t75" alt="Bar and line chart showing increase in investment in the Creative Communities programme, from $2.8 million in 2009/10 to $3.2 million in 2012/13, while the number of grants decreased from 2,418 to 1,777." style="width:299.25pt;height:211.6pt">
            <v:imagedata r:id="rId44" o:title=""/>
          </v:shape>
        </w:pict>
      </w:r>
    </w:p>
    <w:p w:rsidR="003027E3" w:rsidRPr="006552E9" w:rsidRDefault="003027E3" w:rsidP="003027E3">
      <w:pPr>
        <w:pStyle w:val="Caption"/>
        <w:jc w:val="both"/>
        <w:rPr>
          <w:highlight w:val="lightGray"/>
        </w:rPr>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25</w:t>
      </w:r>
      <w:r w:rsidR="006E1B57" w:rsidRPr="006552E9">
        <w:fldChar w:fldCharType="end"/>
      </w:r>
      <w:r w:rsidRPr="006552E9">
        <w:t xml:space="preserve">: </w:t>
      </w:r>
      <w:r w:rsidR="00465CDA">
        <w:t>Investment</w:t>
      </w:r>
      <w:r w:rsidRPr="006552E9">
        <w:t xml:space="preserve"> and grant numbers, Creative Communities Scheme, 2009/10 to 2012/13</w:t>
      </w:r>
    </w:p>
    <w:p w:rsidR="003027E3" w:rsidRPr="006552E9" w:rsidRDefault="003027E3" w:rsidP="003027E3">
      <w:pPr>
        <w:pStyle w:val="Heading3"/>
        <w:rPr>
          <w:highlight w:val="lightGray"/>
        </w:rPr>
      </w:pPr>
      <w:bookmarkStart w:id="69" w:name="_Toc373415040"/>
      <w:r w:rsidRPr="006552E9">
        <w:t>International presentation and events</w:t>
      </w:r>
      <w:bookmarkEnd w:id="69"/>
      <w:r w:rsidRPr="006552E9">
        <w:t xml:space="preserve"> </w:t>
      </w:r>
    </w:p>
    <w:p w:rsidR="003027E3" w:rsidRPr="006552E9" w:rsidRDefault="003027E3" w:rsidP="003027E3">
      <w:pPr>
        <w:rPr>
          <w:rFonts w:eastAsia="Gulim"/>
          <w:color w:val="000000"/>
        </w:rPr>
      </w:pPr>
      <w:r w:rsidRPr="006552E9">
        <w:t>Through International presentation and events,</w:t>
      </w:r>
      <w:r w:rsidRPr="006552E9">
        <w:rPr>
          <w:rStyle w:val="FootnoteReference"/>
        </w:rPr>
        <w:footnoteReference w:id="22"/>
      </w:r>
      <w:r w:rsidRPr="006552E9">
        <w:t xml:space="preserve"> Creative New Zealand supports opportunities for individual artists, arts practitioners, arts organisations or </w:t>
      </w:r>
      <w:r w:rsidR="00BD498B" w:rsidRPr="006552E9">
        <w:t>group</w:t>
      </w:r>
      <w:r w:rsidRPr="006552E9">
        <w:t xml:space="preserve">s of artists </w:t>
      </w:r>
      <w:r w:rsidRPr="006552E9">
        <w:rPr>
          <w:rFonts w:eastAsia="Gulim"/>
          <w:color w:val="000000"/>
        </w:rPr>
        <w:t>to tour, exhibit or perform internationally.</w:t>
      </w:r>
      <w:r w:rsidR="00175E6D" w:rsidRPr="006552E9">
        <w:rPr>
          <w:rFonts w:eastAsia="Gulim"/>
          <w:color w:val="000000"/>
        </w:rPr>
        <w:t xml:space="preserve"> </w:t>
      </w:r>
      <w:r w:rsidRPr="006552E9">
        <w:rPr>
          <w:rFonts w:eastAsia="Gulim"/>
          <w:color w:val="000000"/>
        </w:rPr>
        <w:t>Support may leverage a New Zealand attendance at a trade fair overseas or a particular market-development initiative.</w:t>
      </w:r>
      <w:r w:rsidR="00175E6D" w:rsidRPr="006552E9">
        <w:rPr>
          <w:rFonts w:eastAsia="Gulim"/>
          <w:color w:val="000000"/>
        </w:rPr>
        <w:t xml:space="preserve"> </w:t>
      </w:r>
      <w:r w:rsidRPr="006552E9">
        <w:rPr>
          <w:rFonts w:eastAsia="Gulim"/>
          <w:color w:val="000000"/>
        </w:rPr>
        <w:t>Other activities include providing advice and resources to New Zealand artists seeking to work, or who are working, internationally.</w:t>
      </w:r>
    </w:p>
    <w:p w:rsidR="003027E3" w:rsidRPr="006552E9" w:rsidRDefault="003027E3" w:rsidP="003027E3">
      <w:r w:rsidRPr="006552E9">
        <w:t>The focus of International presentation is targeted, rather than being fully contestable.</w:t>
      </w:r>
      <w:r w:rsidR="00175E6D" w:rsidRPr="006552E9">
        <w:t xml:space="preserve"> </w:t>
      </w:r>
      <w:r w:rsidRPr="006552E9">
        <w:t xml:space="preserve">International projects are generally longer term and outcomes can take </w:t>
      </w:r>
      <w:r w:rsidR="00465CDA">
        <w:t>up</w:t>
      </w:r>
      <w:r w:rsidRPr="006552E9">
        <w:t xml:space="preserve"> to 18 months to be fully recognised.</w:t>
      </w:r>
      <w:r w:rsidR="00175E6D" w:rsidRPr="006552E9">
        <w:t xml:space="preserve"> </w:t>
      </w:r>
      <w:r w:rsidRPr="006552E9">
        <w:t>Those who receive this support have their project completion reports evaluated against the expectations of their initial application and funding agreement.</w:t>
      </w:r>
    </w:p>
    <w:p w:rsidR="003027E3" w:rsidRPr="006552E9" w:rsidRDefault="003027E3" w:rsidP="003027E3">
      <w:r w:rsidRPr="006552E9">
        <w:t xml:space="preserve">International funding directly supports </w:t>
      </w:r>
      <w:r w:rsidRPr="006552E9">
        <w:rPr>
          <w:b/>
        </w:rPr>
        <w:t>Outcome 4: New Zealand arts gain international success</w:t>
      </w:r>
      <w:r w:rsidRPr="006552E9">
        <w:t>.</w:t>
      </w:r>
      <w:r w:rsidR="00175E6D" w:rsidRPr="006552E9">
        <w:t xml:space="preserve"> </w:t>
      </w:r>
    </w:p>
    <w:p w:rsidR="003027E3" w:rsidRPr="006552E9" w:rsidRDefault="003027E3" w:rsidP="003027E3"/>
    <w:p w:rsidR="003027E3" w:rsidRPr="006552E9" w:rsidRDefault="003027E3" w:rsidP="0007425F">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10</w:t>
      </w:r>
      <w:r w:rsidR="006E1B57" w:rsidRPr="006552E9">
        <w:fldChar w:fldCharType="end"/>
      </w:r>
      <w:r w:rsidRPr="006552E9">
        <w:t>: Proof of progress, international presentation and events, 2009/10 to 2012/13</w:t>
      </w:r>
    </w:p>
    <w:tbl>
      <w:tblPr>
        <w:tblW w:w="9298" w:type="dxa"/>
        <w:tblInd w:w="93" w:type="dxa"/>
        <w:tblLook w:val="04A0" w:firstRow="1" w:lastRow="0" w:firstColumn="1" w:lastColumn="0" w:noHBand="0" w:noVBand="1"/>
      </w:tblPr>
      <w:tblGrid>
        <w:gridCol w:w="1928"/>
        <w:gridCol w:w="1020"/>
        <w:gridCol w:w="1020"/>
        <w:gridCol w:w="1021"/>
        <w:gridCol w:w="1020"/>
        <w:gridCol w:w="1020"/>
        <w:gridCol w:w="850"/>
        <w:gridCol w:w="1419"/>
      </w:tblGrid>
      <w:tr w:rsidR="0007425F" w:rsidRPr="0007425F" w:rsidTr="0007425F">
        <w:trPr>
          <w:trHeight w:val="255"/>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Past </w:t>
            </w:r>
            <w:r w:rsidR="00465CDA" w:rsidRPr="0007425F">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Current </w:t>
            </w:r>
            <w:r w:rsidR="00465CDA" w:rsidRPr="0007425F">
              <w:rPr>
                <w:rFonts w:ascii="Arial Narrow" w:hAnsi="Arial Narrow"/>
                <w:b/>
                <w:bCs/>
                <w:color w:val="000000"/>
                <w:sz w:val="18"/>
                <w:szCs w:val="18"/>
              </w:rPr>
              <w:t>performance</w:t>
            </w:r>
          </w:p>
        </w:tc>
      </w:tr>
      <w:tr w:rsidR="0007425F" w:rsidRPr="0007425F" w:rsidTr="0007425F">
        <w:tc>
          <w:tcPr>
            <w:tcW w:w="1928" w:type="dxa"/>
            <w:vMerge/>
            <w:tcBorders>
              <w:top w:val="single" w:sz="4" w:space="0" w:color="auto"/>
              <w:left w:val="single" w:sz="4" w:space="0" w:color="auto"/>
              <w:bottom w:val="single" w:sz="4" w:space="0" w:color="auto"/>
              <w:right w:val="single" w:sz="4" w:space="0" w:color="auto"/>
            </w:tcBorders>
            <w:vAlign w:val="center"/>
            <w:hideMark/>
          </w:tcPr>
          <w:p w:rsidR="0007425F" w:rsidRPr="0007425F" w:rsidRDefault="0007425F" w:rsidP="0007425F">
            <w:pPr>
              <w:keepNext/>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2009/10 Actual</w:t>
            </w: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2010/11 Actual</w:t>
            </w:r>
          </w:p>
        </w:tc>
        <w:tc>
          <w:tcPr>
            <w:tcW w:w="1021"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2011/12 Actual </w:t>
            </w: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2012/13 Actual </w:t>
            </w:r>
            <w:r w:rsidR="00465CDA" w:rsidRPr="0007425F">
              <w:rPr>
                <w:rFonts w:ascii="Arial Narrow" w:hAnsi="Arial Narrow"/>
                <w:b/>
                <w:bCs/>
                <w:color w:val="000000"/>
                <w:sz w:val="18"/>
                <w:szCs w:val="18"/>
              </w:rPr>
              <w:t>year to date</w:t>
            </w:r>
          </w:p>
        </w:tc>
        <w:tc>
          <w:tcPr>
            <w:tcW w:w="850" w:type="dxa"/>
            <w:tcBorders>
              <w:top w:val="nil"/>
              <w:left w:val="single" w:sz="4" w:space="0" w:color="auto"/>
              <w:bottom w:val="nil"/>
              <w:right w:val="single" w:sz="4" w:space="0" w:color="auto"/>
            </w:tcBorders>
            <w:shd w:val="clear" w:color="000000" w:fill="B8CCE4"/>
            <w:vAlign w:val="center"/>
            <w:hideMark/>
          </w:tcPr>
          <w:p w:rsidR="0007425F" w:rsidRPr="0007425F" w:rsidRDefault="0007425F" w:rsidP="00465CDA">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Variance to </w:t>
            </w:r>
            <w:r w:rsidR="00465CDA" w:rsidRPr="0007425F">
              <w:rPr>
                <w:rFonts w:ascii="Arial Narrow" w:hAnsi="Arial Narrow"/>
                <w:b/>
                <w:bCs/>
                <w:color w:val="000000"/>
                <w:sz w:val="18"/>
                <w:szCs w:val="18"/>
              </w:rPr>
              <w:t xml:space="preserve">forecast </w:t>
            </w:r>
            <w:r w:rsidRPr="0007425F">
              <w:rPr>
                <w:rFonts w:ascii="Arial Narrow" w:hAnsi="Arial Narrow"/>
                <w:b/>
                <w:bCs/>
                <w:color w:val="000000"/>
                <w:sz w:val="18"/>
                <w:szCs w:val="18"/>
              </w:rPr>
              <w:br/>
              <w:t>(+/</w:t>
            </w:r>
            <w:r w:rsidR="00465CDA">
              <w:rPr>
                <w:rFonts w:ascii="Arial Narrow" w:hAnsi="Arial Narrow"/>
                <w:b/>
                <w:bCs/>
                <w:color w:val="000000"/>
                <w:sz w:val="18"/>
                <w:szCs w:val="18"/>
              </w:rPr>
              <w:t>–</w:t>
            </w:r>
            <w:r w:rsidRPr="0007425F">
              <w:rPr>
                <w:rFonts w:ascii="Arial Narrow" w:hAnsi="Arial Narrow"/>
                <w:b/>
                <w:bCs/>
                <w:color w:val="000000"/>
                <w:sz w:val="18"/>
                <w:szCs w:val="18"/>
              </w:rPr>
              <w:t>%)</w:t>
            </w:r>
          </w:p>
        </w:tc>
        <w:tc>
          <w:tcPr>
            <w:tcW w:w="1417" w:type="dxa"/>
            <w:tcBorders>
              <w:top w:val="nil"/>
              <w:left w:val="nil"/>
              <w:bottom w:val="nil"/>
              <w:right w:val="single" w:sz="4" w:space="0" w:color="auto"/>
            </w:tcBorders>
            <w:shd w:val="clear" w:color="000000" w:fill="B8CCE4"/>
            <w:vAlign w:val="center"/>
            <w:hideMark/>
          </w:tcPr>
          <w:p w:rsidR="0007425F" w:rsidRPr="0007425F" w:rsidRDefault="0007425F" w:rsidP="0007425F">
            <w:pPr>
              <w:keepNext/>
              <w:spacing w:before="0"/>
              <w:jc w:val="left"/>
              <w:rPr>
                <w:rFonts w:ascii="Arial Narrow" w:hAnsi="Arial Narrow"/>
                <w:b/>
                <w:bCs/>
                <w:color w:val="000000"/>
                <w:sz w:val="18"/>
                <w:szCs w:val="18"/>
              </w:rPr>
            </w:pPr>
            <w:r w:rsidRPr="0007425F">
              <w:rPr>
                <w:rFonts w:ascii="Arial Narrow" w:hAnsi="Arial Narrow"/>
                <w:b/>
                <w:bCs/>
                <w:color w:val="000000"/>
                <w:sz w:val="18"/>
                <w:szCs w:val="18"/>
              </w:rPr>
              <w:t>Notes</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000000" w:fill="DCE6F1"/>
            <w:noWrap/>
            <w:vAlign w:val="center"/>
            <w:hideMark/>
          </w:tcPr>
          <w:p w:rsidR="0007425F" w:rsidRPr="0007425F" w:rsidRDefault="0007425F" w:rsidP="0007425F">
            <w:pPr>
              <w:keepNext/>
              <w:spacing w:before="0"/>
              <w:jc w:val="left"/>
              <w:rPr>
                <w:rFonts w:ascii="Arial Narrow" w:hAnsi="Arial Narrow"/>
                <w:b/>
                <w:bCs/>
                <w:color w:val="000000"/>
                <w:sz w:val="18"/>
                <w:szCs w:val="18"/>
              </w:rPr>
            </w:pPr>
            <w:r w:rsidRPr="0007425F">
              <w:rPr>
                <w:rFonts w:ascii="Arial Narrow" w:hAnsi="Arial Narrow"/>
                <w:b/>
                <w:bCs/>
                <w:color w:val="000000"/>
                <w:sz w:val="18"/>
                <w:szCs w:val="18"/>
              </w:rPr>
              <w:t>Expenditure</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single" w:sz="4" w:space="0" w:color="auto"/>
              <w:left w:val="nil"/>
              <w:bottom w:val="nil"/>
              <w:right w:val="nil"/>
            </w:tcBorders>
            <w:shd w:val="clear" w:color="000000" w:fill="DCE6F1"/>
            <w:vAlign w:val="center"/>
            <w:hideMark/>
          </w:tcPr>
          <w:p w:rsidR="0007425F" w:rsidRPr="0007425F" w:rsidRDefault="0007425F" w:rsidP="0007425F">
            <w:pPr>
              <w:keepNext/>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single" w:sz="4" w:space="0" w:color="auto"/>
              <w:left w:val="nil"/>
              <w:bottom w:val="nil"/>
              <w:right w:val="single" w:sz="4" w:space="0" w:color="auto"/>
            </w:tcBorders>
            <w:shd w:val="clear" w:color="000000" w:fill="DCE6F1"/>
            <w:vAlign w:val="center"/>
            <w:hideMark/>
          </w:tcPr>
          <w:p w:rsidR="0007425F" w:rsidRPr="0007425F" w:rsidRDefault="0007425F" w:rsidP="0007425F">
            <w:pPr>
              <w:keepNext/>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auto" w:fill="auto"/>
            <w:vAlign w:val="center"/>
            <w:hideMark/>
          </w:tcPr>
          <w:p w:rsidR="0007425F" w:rsidRPr="0007425F" w:rsidRDefault="0007425F" w:rsidP="0007425F">
            <w:pPr>
              <w:keepNext/>
              <w:spacing w:before="0"/>
              <w:jc w:val="left"/>
              <w:rPr>
                <w:rFonts w:ascii="Arial Narrow" w:hAnsi="Arial Narrow"/>
                <w:color w:val="000000"/>
                <w:sz w:val="18"/>
                <w:szCs w:val="18"/>
              </w:rPr>
            </w:pPr>
            <w:r w:rsidRPr="0007425F">
              <w:rPr>
                <w:rFonts w:ascii="Arial Narrow" w:hAnsi="Arial Narrow"/>
                <w:color w:val="000000"/>
                <w:sz w:val="18"/>
                <w:szCs w:val="18"/>
              </w:rPr>
              <w:t>Total expenditure</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3752FC">
            <w:pPr>
              <w:keepNext/>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804,761</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3752FC">
            <w:pPr>
              <w:keepNext/>
              <w:spacing w:before="0"/>
              <w:jc w:val="center"/>
              <w:rPr>
                <w:rFonts w:ascii="Arial Narrow" w:hAnsi="Arial Narrow"/>
                <w:color w:val="000000"/>
                <w:sz w:val="18"/>
                <w:szCs w:val="18"/>
              </w:rPr>
            </w:pPr>
            <w:r w:rsidRPr="0007425F">
              <w:rPr>
                <w:rFonts w:ascii="Arial Narrow" w:hAnsi="Arial Narrow"/>
                <w:color w:val="000000"/>
                <w:sz w:val="18"/>
                <w:szCs w:val="18"/>
              </w:rPr>
              <w:t>$</w:t>
            </w:r>
            <w:r w:rsidR="005173DA">
              <w:rPr>
                <w:rFonts w:ascii="Arial Narrow" w:hAnsi="Arial Narrow"/>
                <w:color w:val="000000"/>
                <w:sz w:val="18"/>
                <w:szCs w:val="18"/>
              </w:rPr>
              <w:t xml:space="preserve"> </w:t>
            </w:r>
            <w:r w:rsidRPr="0007425F">
              <w:rPr>
                <w:rFonts w:ascii="Arial Narrow" w:hAnsi="Arial Narrow"/>
                <w:color w:val="000000"/>
                <w:sz w:val="18"/>
                <w:szCs w:val="18"/>
              </w:rPr>
              <w:t>1,368,640</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3752FC">
            <w:pPr>
              <w:keepNext/>
              <w:spacing w:before="0"/>
              <w:jc w:val="center"/>
              <w:rPr>
                <w:rFonts w:ascii="Arial Narrow" w:hAnsi="Arial Narrow"/>
                <w:color w:val="000000"/>
                <w:sz w:val="18"/>
                <w:szCs w:val="18"/>
              </w:rPr>
            </w:pPr>
            <w:r w:rsidRPr="0007425F">
              <w:rPr>
                <w:rFonts w:ascii="Arial Narrow" w:hAnsi="Arial Narrow"/>
                <w:color w:val="000000"/>
                <w:sz w:val="18"/>
                <w:szCs w:val="18"/>
              </w:rPr>
              <w:t>$</w:t>
            </w:r>
            <w:r w:rsidR="005173DA">
              <w:rPr>
                <w:rFonts w:ascii="Arial Narrow" w:hAnsi="Arial Narrow"/>
                <w:color w:val="000000"/>
                <w:sz w:val="18"/>
                <w:szCs w:val="18"/>
              </w:rPr>
              <w:t xml:space="preserve"> </w:t>
            </w:r>
            <w:r w:rsidRPr="0007425F">
              <w:rPr>
                <w:rFonts w:ascii="Arial Narrow" w:hAnsi="Arial Narrow"/>
                <w:color w:val="000000"/>
                <w:sz w:val="18"/>
                <w:szCs w:val="18"/>
              </w:rPr>
              <w:t>2,241,716</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3752FC">
            <w:pPr>
              <w:keepNext/>
              <w:spacing w:before="0"/>
              <w:jc w:val="center"/>
              <w:rPr>
                <w:rFonts w:ascii="Arial Narrow" w:hAnsi="Arial Narrow"/>
                <w:color w:val="000000"/>
                <w:sz w:val="18"/>
                <w:szCs w:val="18"/>
              </w:rPr>
            </w:pPr>
            <w:r w:rsidRPr="0007425F">
              <w:rPr>
                <w:rFonts w:ascii="Arial Narrow" w:hAnsi="Arial Narrow"/>
                <w:color w:val="000000"/>
                <w:sz w:val="18"/>
                <w:szCs w:val="18"/>
              </w:rPr>
              <w:t>$</w:t>
            </w:r>
            <w:r w:rsidR="005173DA">
              <w:rPr>
                <w:rFonts w:ascii="Arial Narrow" w:hAnsi="Arial Narrow"/>
                <w:color w:val="000000"/>
                <w:sz w:val="18"/>
                <w:szCs w:val="18"/>
              </w:rPr>
              <w:t xml:space="preserve"> </w:t>
            </w:r>
            <w:r w:rsidRPr="0007425F">
              <w:rPr>
                <w:rFonts w:ascii="Arial Narrow" w:hAnsi="Arial Narrow"/>
                <w:color w:val="000000"/>
                <w:sz w:val="18"/>
                <w:szCs w:val="18"/>
              </w:rPr>
              <w:t>1,677,000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3752FC">
            <w:pPr>
              <w:keepNext/>
              <w:spacing w:before="0"/>
              <w:jc w:val="center"/>
              <w:rPr>
                <w:rFonts w:ascii="Arial Narrow" w:hAnsi="Arial Narrow"/>
                <w:color w:val="000000"/>
                <w:sz w:val="18"/>
                <w:szCs w:val="18"/>
              </w:rPr>
            </w:pPr>
            <w:r w:rsidRPr="0007425F">
              <w:rPr>
                <w:rFonts w:ascii="Arial Narrow" w:hAnsi="Arial Narrow"/>
                <w:color w:val="000000"/>
                <w:sz w:val="18"/>
                <w:szCs w:val="18"/>
              </w:rPr>
              <w:t>$</w:t>
            </w:r>
            <w:r w:rsidR="005173DA">
              <w:rPr>
                <w:rFonts w:ascii="Arial Narrow" w:hAnsi="Arial Narrow"/>
                <w:color w:val="000000"/>
                <w:sz w:val="18"/>
                <w:szCs w:val="18"/>
              </w:rPr>
              <w:t xml:space="preserve"> </w:t>
            </w:r>
            <w:r w:rsidRPr="0007425F">
              <w:rPr>
                <w:rFonts w:ascii="Arial Narrow" w:hAnsi="Arial Narrow"/>
                <w:color w:val="000000"/>
                <w:sz w:val="18"/>
                <w:szCs w:val="18"/>
              </w:rPr>
              <w:t>2,215,125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7425F" w:rsidRPr="0007425F" w:rsidRDefault="0007425F" w:rsidP="0007425F">
            <w:pPr>
              <w:keepNext/>
              <w:spacing w:before="0"/>
              <w:jc w:val="center"/>
              <w:rPr>
                <w:rFonts w:ascii="Arial Narrow" w:hAnsi="Arial Narrow"/>
                <w:color w:val="000000"/>
                <w:sz w:val="18"/>
                <w:szCs w:val="18"/>
              </w:rPr>
            </w:pPr>
            <w:r w:rsidRPr="0007425F">
              <w:rPr>
                <w:rFonts w:ascii="Arial Narrow" w:hAnsi="Arial Narrow"/>
                <w:color w:val="000000"/>
                <w:sz w:val="18"/>
                <w:szCs w:val="18"/>
              </w:rPr>
              <w:t>32%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425F" w:rsidRPr="0007425F" w:rsidRDefault="0007425F" w:rsidP="0007425F">
            <w:pPr>
              <w:keepNext/>
              <w:spacing w:before="0"/>
              <w:jc w:val="center"/>
              <w:rPr>
                <w:rFonts w:ascii="Arial Narrow" w:hAnsi="Arial Narrow"/>
                <w:color w:val="000000"/>
                <w:sz w:val="18"/>
                <w:szCs w:val="18"/>
              </w:rPr>
            </w:pPr>
            <w:r w:rsidRPr="0007425F">
              <w:rPr>
                <w:rFonts w:ascii="Arial Narrow" w:hAnsi="Arial Narrow"/>
                <w:color w:val="000000"/>
                <w:sz w:val="18"/>
                <w:szCs w:val="18"/>
              </w:rPr>
              <w:t>Exceeded forecast.</w:t>
            </w:r>
            <w:r w:rsidR="005173DA">
              <w:rPr>
                <w:rFonts w:ascii="Arial Narrow" w:hAnsi="Arial Narrow"/>
                <w:color w:val="000000"/>
                <w:sz w:val="18"/>
                <w:szCs w:val="18"/>
              </w:rPr>
              <w:t xml:space="preserve"> </w:t>
            </w:r>
            <w:r w:rsidRPr="0007425F">
              <w:rPr>
                <w:rFonts w:ascii="Arial Narrow" w:hAnsi="Arial Narrow"/>
                <w:color w:val="000000"/>
                <w:sz w:val="18"/>
                <w:szCs w:val="18"/>
              </w:rPr>
              <w:t>Includes additional funding for 2012 Guest Country of Honour at Frankfurt Book Fair and upfront payment of Venice Biennale costs (budgeted over two years)</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xml:space="preserve">Quantity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07425F">
            <w:pPr>
              <w:spacing w:before="0"/>
              <w:jc w:val="left"/>
              <w:rPr>
                <w:rFonts w:ascii="Arial Narrow" w:hAnsi="Arial Narrow"/>
                <w:color w:val="000000"/>
                <w:sz w:val="18"/>
                <w:szCs w:val="18"/>
              </w:rPr>
            </w:pPr>
            <w:r w:rsidRPr="0007425F">
              <w:rPr>
                <w:rFonts w:ascii="Arial Narrow" w:hAnsi="Arial Narrow"/>
                <w:color w:val="000000"/>
                <w:sz w:val="18"/>
                <w:szCs w:val="18"/>
              </w:rPr>
              <w:t>Number of projects funded</w:t>
            </w:r>
          </w:p>
        </w:tc>
        <w:tc>
          <w:tcPr>
            <w:tcW w:w="1020" w:type="dxa"/>
            <w:tcBorders>
              <w:top w:val="nil"/>
              <w:left w:val="nil"/>
              <w:bottom w:val="nil"/>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25</w:t>
            </w:r>
          </w:p>
        </w:tc>
        <w:tc>
          <w:tcPr>
            <w:tcW w:w="1020" w:type="dxa"/>
            <w:tcBorders>
              <w:top w:val="nil"/>
              <w:left w:val="nil"/>
              <w:bottom w:val="nil"/>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20</w:t>
            </w:r>
          </w:p>
        </w:tc>
        <w:tc>
          <w:tcPr>
            <w:tcW w:w="1021" w:type="dxa"/>
            <w:tcBorders>
              <w:top w:val="nil"/>
              <w:left w:val="nil"/>
              <w:bottom w:val="nil"/>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20</w:t>
            </w:r>
          </w:p>
        </w:tc>
        <w:tc>
          <w:tcPr>
            <w:tcW w:w="1020" w:type="dxa"/>
            <w:tcBorders>
              <w:top w:val="nil"/>
              <w:left w:val="nil"/>
              <w:bottom w:val="nil"/>
              <w:right w:val="single" w:sz="4" w:space="0" w:color="auto"/>
            </w:tcBorders>
            <w:shd w:val="clear" w:color="auto" w:fill="auto"/>
            <w:noWrap/>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25</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25</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0%</w:t>
            </w:r>
          </w:p>
        </w:tc>
        <w:tc>
          <w:tcPr>
            <w:tcW w:w="1417" w:type="dxa"/>
            <w:tcBorders>
              <w:top w:val="nil"/>
              <w:left w:val="nil"/>
              <w:bottom w:val="nil"/>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Forecast met</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xml:space="preserve">Quality </w:t>
            </w:r>
          </w:p>
        </w:tc>
        <w:tc>
          <w:tcPr>
            <w:tcW w:w="1020"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07425F">
            <w:pPr>
              <w:spacing w:before="0"/>
              <w:jc w:val="left"/>
              <w:rPr>
                <w:rFonts w:ascii="Arial Narrow" w:hAnsi="Arial Narrow"/>
                <w:color w:val="000000"/>
                <w:sz w:val="18"/>
                <w:szCs w:val="18"/>
              </w:rPr>
            </w:pPr>
            <w:r w:rsidRPr="0007425F">
              <w:rPr>
                <w:rFonts w:ascii="Arial Narrow" w:hAnsi="Arial Narrow"/>
                <w:color w:val="000000"/>
                <w:sz w:val="18"/>
                <w:szCs w:val="18"/>
              </w:rPr>
              <w:t>Project completion rate</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99%</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99%</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99%</w:t>
            </w:r>
          </w:p>
        </w:tc>
        <w:tc>
          <w:tcPr>
            <w:tcW w:w="850" w:type="dxa"/>
            <w:tcBorders>
              <w:top w:val="nil"/>
              <w:left w:val="nil"/>
              <w:bottom w:val="nil"/>
              <w:right w:val="nil"/>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Forecast met</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07425F">
            <w:pPr>
              <w:spacing w:before="0"/>
              <w:jc w:val="left"/>
              <w:rPr>
                <w:rFonts w:ascii="Arial Narrow" w:hAnsi="Arial Narrow"/>
                <w:color w:val="000000"/>
                <w:sz w:val="18"/>
                <w:szCs w:val="18"/>
              </w:rPr>
            </w:pPr>
            <w:r w:rsidRPr="0007425F">
              <w:rPr>
                <w:rFonts w:ascii="Arial Narrow" w:hAnsi="Arial Narrow"/>
                <w:color w:val="000000"/>
                <w:sz w:val="18"/>
                <w:szCs w:val="18"/>
              </w:rPr>
              <w:t>Proportion of projects that meet or exceed the expectations in the approved application and the funding agreement</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98% (of the 87% of projects that were evaluated)</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100% (of the 90% of projects that were evaluated)</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80%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100% (of the 94% of projects that were evaluated)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25%</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Exceeded forecast. Target has been increased for 2013/14 </w:t>
            </w:r>
          </w:p>
        </w:tc>
      </w:tr>
    </w:tbl>
    <w:p w:rsidR="003027E3" w:rsidRPr="006552E9" w:rsidRDefault="003027E3" w:rsidP="003027E3">
      <w:pPr>
        <w:pStyle w:val="Tabletext"/>
      </w:pPr>
    </w:p>
    <w:p w:rsidR="003027E3" w:rsidRPr="006552E9" w:rsidRDefault="003027E3" w:rsidP="003027E3">
      <w:r w:rsidRPr="006552E9">
        <w:t xml:space="preserve">Figure </w:t>
      </w:r>
      <w:r w:rsidR="00901445">
        <w:t>2</w:t>
      </w:r>
      <w:r w:rsidR="00203B9F">
        <w:t>6</w:t>
      </w:r>
      <w:r w:rsidRPr="006552E9">
        <w:t xml:space="preserve"> shows the effect on total International presentation and events of specific initiatives that Creative New Zealand supports as a result of gover</w:t>
      </w:r>
      <w:r w:rsidR="00465CDA">
        <w:t>nment-to-government invitations:</w:t>
      </w:r>
    </w:p>
    <w:p w:rsidR="003027E3" w:rsidRPr="006552E9" w:rsidRDefault="003027E3" w:rsidP="003027E3">
      <w:pPr>
        <w:pStyle w:val="Bullet"/>
      </w:pPr>
      <w:r w:rsidRPr="006552E9">
        <w:t>Venice Biennale (occurs every two years)</w:t>
      </w:r>
    </w:p>
    <w:p w:rsidR="003027E3" w:rsidRPr="006552E9" w:rsidRDefault="003027E3" w:rsidP="003027E3">
      <w:pPr>
        <w:pStyle w:val="Bullet"/>
      </w:pPr>
      <w:r w:rsidRPr="006552E9">
        <w:t>Festival of Pacific Arts (occurs every four years)</w:t>
      </w:r>
    </w:p>
    <w:p w:rsidR="003027E3" w:rsidRPr="006552E9" w:rsidRDefault="003027E3" w:rsidP="003027E3">
      <w:pPr>
        <w:pStyle w:val="Bullet"/>
      </w:pPr>
      <w:r w:rsidRPr="006552E9">
        <w:t>Frankfurt Book Fair – Guest Country of Honour (specific 2012 initiative).</w:t>
      </w:r>
    </w:p>
    <w:p w:rsidR="003027E3" w:rsidRPr="006552E9" w:rsidRDefault="005D6E4A" w:rsidP="003027E3">
      <w:pPr>
        <w:keepNext/>
      </w:pPr>
      <w:r>
        <w:pict>
          <v:shape id="_x0000_i1042" type="#_x0000_t75" alt="Stacked bar chart showing funding under International presentation and events from 2009/10 to 2012/13, by programme:&#10;&#10;Programme 2009/10 2010/11 2011/12 2012/13&#10;International presentation  $187,612   $312,779   $238,940   $555,151 &#10;Venice Biennale  $593,766   $897,895   $335,105   $526,007 &#10;Festival of Pacific Arts  $-     $68,414   $471,004   $242,494 &#10;2012 Frankfurt Book Fair Guest Country of Honour  $-     $-     $1,065,334   $675,049 &#10;Other international support  $23,384   $89,552   $131,333   $216,423 &#10;Total  $804,762   $1,368,640   $2,241,716   $2,215,124 &#10;" style="width:299.25pt;height:244.15pt;mso-position-vertical:absolute">
            <v:imagedata r:id="rId45" o:title=""/>
          </v:shape>
        </w:pict>
      </w:r>
    </w:p>
    <w:p w:rsidR="003027E3" w:rsidRPr="006552E9" w:rsidRDefault="003027E3" w:rsidP="003027E3">
      <w:pPr>
        <w:pStyle w:val="Caption"/>
        <w:jc w:val="both"/>
      </w:pPr>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26</w:t>
      </w:r>
      <w:r w:rsidR="006E1B57" w:rsidRPr="006552E9">
        <w:fldChar w:fldCharType="end"/>
      </w:r>
      <w:r w:rsidRPr="006552E9">
        <w:t xml:space="preserve">: </w:t>
      </w:r>
      <w:r w:rsidR="00465CDA">
        <w:t>Investment</w:t>
      </w:r>
      <w:r w:rsidRPr="006552E9">
        <w:t xml:space="preserve"> by programme, international presentation and events, 2009/10 to 2012/13</w:t>
      </w:r>
    </w:p>
    <w:p w:rsidR="003027E3" w:rsidRPr="006552E9" w:rsidRDefault="003027E3" w:rsidP="003027E3">
      <w:pPr>
        <w:rPr>
          <w:color w:val="365F91"/>
          <w:sz w:val="32"/>
          <w:szCs w:val="28"/>
        </w:rPr>
      </w:pPr>
      <w:r w:rsidRPr="006552E9">
        <w:br w:type="page"/>
      </w:r>
    </w:p>
    <w:p w:rsidR="003027E3" w:rsidRPr="006552E9" w:rsidRDefault="003027E3" w:rsidP="003027E3">
      <w:pPr>
        <w:pStyle w:val="Heading2"/>
      </w:pPr>
      <w:bookmarkStart w:id="70" w:name="_Toc373415041"/>
      <w:r w:rsidRPr="006552E9">
        <w:t>Output Area 2: Capability building</w:t>
      </w:r>
      <w:bookmarkEnd w:id="70"/>
      <w:r w:rsidRPr="006552E9">
        <w:t xml:space="preserve"> </w:t>
      </w:r>
    </w:p>
    <w:p w:rsidR="003027E3" w:rsidRPr="006552E9" w:rsidRDefault="003027E3" w:rsidP="003027E3">
      <w:pPr>
        <w:rPr>
          <w:color w:val="000000"/>
        </w:rPr>
      </w:pPr>
      <w:r w:rsidRPr="006552E9">
        <w:rPr>
          <w:color w:val="000000"/>
        </w:rPr>
        <w:t xml:space="preserve">In addition to funding, Creative New Zealand offers </w:t>
      </w:r>
      <w:r w:rsidRPr="006552E9">
        <w:t>capability building initiatives to help</w:t>
      </w:r>
      <w:r w:rsidRPr="006552E9">
        <w:rPr>
          <w:color w:val="000000"/>
        </w:rPr>
        <w:t xml:space="preserve"> artists, arts practitioners and arts organisations </w:t>
      </w:r>
      <w:r w:rsidRPr="006552E9">
        <w:t>develop professionally, manage their organisations more effectively and develop audiences and markets for their work.</w:t>
      </w:r>
      <w:r w:rsidR="00175E6D" w:rsidRPr="006552E9">
        <w:t xml:space="preserve"> </w:t>
      </w:r>
      <w:r w:rsidRPr="006552E9">
        <w:t>Our capability building programme includes initiatives ranging from webinars and workshops through to one-on-one coaching.</w:t>
      </w:r>
      <w:r w:rsidR="00175E6D" w:rsidRPr="006552E9">
        <w:t xml:space="preserve"> </w:t>
      </w:r>
      <w:r w:rsidRPr="006552E9">
        <w:t>We also provide online and print resources.</w:t>
      </w:r>
    </w:p>
    <w:p w:rsidR="003027E3" w:rsidRPr="006552E9" w:rsidRDefault="003027E3" w:rsidP="003027E3">
      <w:pPr>
        <w:rPr>
          <w:color w:val="000000"/>
        </w:rPr>
      </w:pPr>
      <w:r w:rsidRPr="006552E9">
        <w:rPr>
          <w:color w:val="000000"/>
        </w:rPr>
        <w:t xml:space="preserve">The expenditure on capability building </w:t>
      </w:r>
      <w:r w:rsidRPr="006552E9">
        <w:t xml:space="preserve">in 2012/13 was $1.5 million, 4 percent </w:t>
      </w:r>
      <w:r w:rsidRPr="006552E9">
        <w:rPr>
          <w:color w:val="000000"/>
        </w:rPr>
        <w:t xml:space="preserve">of the total expenditure for </w:t>
      </w:r>
      <w:r w:rsidRPr="006552E9">
        <w:t>2012/13</w:t>
      </w:r>
      <w:r w:rsidR="00126E51" w:rsidRPr="006552E9">
        <w:t xml:space="preserve"> (excluding personnel costs and overheads)</w:t>
      </w:r>
      <w:r w:rsidRPr="006552E9">
        <w:rPr>
          <w:color w:val="000000"/>
        </w:rPr>
        <w:t>.</w:t>
      </w:r>
    </w:p>
    <w:p w:rsidR="003027E3" w:rsidRPr="006552E9" w:rsidRDefault="003027E3" w:rsidP="003027E3">
      <w:pPr>
        <w:rPr>
          <w:color w:val="000000"/>
        </w:rPr>
      </w:pPr>
      <w:r w:rsidRPr="006552E9">
        <w:rPr>
          <w:color w:val="000000"/>
        </w:rPr>
        <w:t xml:space="preserve"> There are </w:t>
      </w:r>
      <w:r w:rsidRPr="006552E9">
        <w:t xml:space="preserve">three </w:t>
      </w:r>
      <w:r w:rsidR="00AD2240">
        <w:t>main</w:t>
      </w:r>
      <w:r w:rsidRPr="006552E9">
        <w:rPr>
          <w:color w:val="1F497D"/>
        </w:rPr>
        <w:t xml:space="preserve"> </w:t>
      </w:r>
      <w:r w:rsidRPr="006552E9">
        <w:rPr>
          <w:color w:val="000000"/>
        </w:rPr>
        <w:t>aspects of capability building</w:t>
      </w:r>
      <w:r w:rsidRPr="006552E9">
        <w:rPr>
          <w:color w:val="1F497D"/>
        </w:rPr>
        <w:t>:</w:t>
      </w:r>
    </w:p>
    <w:p w:rsidR="003027E3" w:rsidRPr="006552E9" w:rsidRDefault="003027E3" w:rsidP="003027E3">
      <w:pPr>
        <w:pStyle w:val="Bullet"/>
        <w:rPr>
          <w:color w:val="000000"/>
        </w:rPr>
      </w:pPr>
      <w:r w:rsidRPr="006552E9">
        <w:t>audience and market development</w:t>
      </w:r>
    </w:p>
    <w:p w:rsidR="003027E3" w:rsidRPr="006552E9" w:rsidRDefault="003027E3" w:rsidP="003027E3">
      <w:pPr>
        <w:pStyle w:val="Bullet"/>
        <w:rPr>
          <w:color w:val="000000"/>
        </w:rPr>
      </w:pPr>
      <w:r w:rsidRPr="006552E9">
        <w:t>strategy and governance</w:t>
      </w:r>
    </w:p>
    <w:p w:rsidR="003027E3" w:rsidRPr="006552E9" w:rsidRDefault="003027E3" w:rsidP="003027E3">
      <w:pPr>
        <w:pStyle w:val="Bullet"/>
        <w:rPr>
          <w:color w:val="000000"/>
        </w:rPr>
      </w:pPr>
      <w:r w:rsidRPr="006552E9">
        <w:t>fundraising</w:t>
      </w:r>
      <w:r w:rsidR="00AD2240">
        <w:t>.</w:t>
      </w:r>
    </w:p>
    <w:p w:rsidR="003027E3" w:rsidRPr="006552E9" w:rsidRDefault="003027E3" w:rsidP="003027E3">
      <w:pPr>
        <w:pStyle w:val="Heading3"/>
      </w:pPr>
      <w:bookmarkStart w:id="71" w:name="_Toc339551239"/>
      <w:bookmarkStart w:id="72" w:name="_Toc373415042"/>
      <w:bookmarkEnd w:id="71"/>
      <w:r w:rsidRPr="006552E9">
        <w:t>Audience and market development</w:t>
      </w:r>
      <w:bookmarkEnd w:id="72"/>
    </w:p>
    <w:p w:rsidR="003027E3" w:rsidRPr="006552E9" w:rsidRDefault="003027E3" w:rsidP="003027E3">
      <w:r w:rsidRPr="006552E9">
        <w:t>Our audience and market development training enables arts organisations to better communicate with existing and new audiences to develop and grow their audiences.</w:t>
      </w:r>
      <w:r w:rsidR="00175E6D" w:rsidRPr="006552E9">
        <w:t xml:space="preserve"> </w:t>
      </w:r>
      <w:r w:rsidRPr="006552E9">
        <w:t>Organisations learn how to apply audience research, use a marketing segmentation system developed for the arts sector, make better use of their databases, information and reporting systems and take advantage of the power of online marketing.</w:t>
      </w:r>
      <w:r w:rsidR="00175E6D" w:rsidRPr="006552E9">
        <w:t xml:space="preserve"> </w:t>
      </w:r>
    </w:p>
    <w:p w:rsidR="003027E3" w:rsidRPr="006552E9" w:rsidRDefault="003027E3" w:rsidP="003027E3">
      <w:r w:rsidRPr="006552E9">
        <w:t>The international aspect of audience and market development aims to build strong relationships between local artists, arts practitioners, arts organisations and key players in international arts management.</w:t>
      </w:r>
      <w:r w:rsidR="00175E6D" w:rsidRPr="006552E9">
        <w:t xml:space="preserve"> </w:t>
      </w:r>
      <w:r w:rsidRPr="006552E9">
        <w:t>This is done through attendance at international markets and fairs, by promoting market development and bringing appropriate overseas experts and agents to New Zealand to experience local arts.</w:t>
      </w:r>
      <w:r w:rsidR="00175E6D" w:rsidRPr="006552E9">
        <w:t xml:space="preserve"> </w:t>
      </w:r>
    </w:p>
    <w:p w:rsidR="003027E3" w:rsidRPr="006552E9" w:rsidRDefault="003027E3" w:rsidP="003027E3">
      <w:r w:rsidRPr="006552E9">
        <w:t>In addition to the formal categories of activity, Creative New Zealand staff work with individual artists, arts practitioners and arts organisations, providing coaching and advice on a daily basis, using their own experience and expertise.</w:t>
      </w:r>
      <w:r w:rsidR="00175E6D" w:rsidRPr="006552E9">
        <w:t xml:space="preserve"> </w:t>
      </w:r>
    </w:p>
    <w:p w:rsidR="003027E3" w:rsidRPr="006552E9" w:rsidRDefault="003027E3" w:rsidP="003027E3">
      <w:pPr>
        <w:pStyle w:val="Heading3"/>
        <w:rPr>
          <w:color w:val="000000"/>
        </w:rPr>
      </w:pPr>
      <w:bookmarkStart w:id="73" w:name="_Toc373415043"/>
      <w:r w:rsidRPr="006552E9">
        <w:t>Strategy and governance</w:t>
      </w:r>
      <w:bookmarkEnd w:id="73"/>
    </w:p>
    <w:p w:rsidR="003027E3" w:rsidRPr="006552E9" w:rsidRDefault="003027E3" w:rsidP="003027E3">
      <w:r w:rsidRPr="006552E9">
        <w:t>Strategy and governance initiatives help arts organisations to acquire and apply the skills necessary to develop strategic plans, digital strategies and effective boards.</w:t>
      </w:r>
      <w:r w:rsidR="00175E6D" w:rsidRPr="006552E9">
        <w:t xml:space="preserve"> </w:t>
      </w:r>
      <w:r w:rsidRPr="006552E9">
        <w:t>Sixteen arts organisations took part in these initiatives in 2012/13 through a series of workshops, strategic planning consultations involving members of their organisation</w:t>
      </w:r>
      <w:r w:rsidR="00AD2240">
        <w:t>s</w:t>
      </w:r>
      <w:r w:rsidRPr="006552E9">
        <w:t xml:space="preserve"> and follow-up support and advice.</w:t>
      </w:r>
      <w:r w:rsidR="00175E6D" w:rsidRPr="006552E9">
        <w:t xml:space="preserve"> </w:t>
      </w:r>
      <w:r w:rsidRPr="006552E9">
        <w:t>This area of capability building covers leadership, vision, strategy, governance, outcomes, branding and priorities for action and staff development.</w:t>
      </w:r>
    </w:p>
    <w:p w:rsidR="003027E3" w:rsidRPr="006552E9" w:rsidRDefault="003027E3" w:rsidP="003027E3">
      <w:pPr>
        <w:pStyle w:val="Heading3"/>
        <w:rPr>
          <w:color w:val="000000"/>
        </w:rPr>
      </w:pPr>
      <w:bookmarkStart w:id="74" w:name="_Toc373415044"/>
      <w:r w:rsidRPr="006552E9">
        <w:t>Fundraising</w:t>
      </w:r>
      <w:bookmarkEnd w:id="74"/>
    </w:p>
    <w:p w:rsidR="003027E3" w:rsidRPr="006552E9" w:rsidRDefault="003027E3" w:rsidP="003027E3">
      <w:pPr>
        <w:rPr>
          <w:rFonts w:cs="Arial"/>
        </w:rPr>
      </w:pPr>
      <w:r w:rsidRPr="006552E9">
        <w:rPr>
          <w:rFonts w:cs="Arial"/>
        </w:rPr>
        <w:t xml:space="preserve">Creative New Zealand is currently delivering a pilot Creative Giving programme designed to enhance </w:t>
      </w:r>
      <w:r w:rsidR="00AD2240">
        <w:rPr>
          <w:rFonts w:cs="Arial"/>
        </w:rPr>
        <w:t xml:space="preserve">the </w:t>
      </w:r>
      <w:r w:rsidRPr="006552E9">
        <w:rPr>
          <w:rFonts w:cs="Arial"/>
        </w:rPr>
        <w:t xml:space="preserve">ability </w:t>
      </w:r>
      <w:r w:rsidR="00AD2240">
        <w:rPr>
          <w:rFonts w:cs="Arial"/>
        </w:rPr>
        <w:t xml:space="preserve">of </w:t>
      </w:r>
      <w:r w:rsidR="00AD2240" w:rsidRPr="006552E9">
        <w:rPr>
          <w:rFonts w:cs="Arial"/>
        </w:rPr>
        <w:t>the arts, culture and heritage sector</w:t>
      </w:r>
      <w:r w:rsidR="00AD2240">
        <w:rPr>
          <w:rFonts w:cs="Arial"/>
        </w:rPr>
        <w:t>s</w:t>
      </w:r>
      <w:r w:rsidR="00AD2240" w:rsidRPr="006552E9">
        <w:rPr>
          <w:rFonts w:cs="Arial"/>
        </w:rPr>
        <w:t xml:space="preserve"> </w:t>
      </w:r>
      <w:r w:rsidRPr="006552E9">
        <w:rPr>
          <w:rFonts w:cs="Arial"/>
        </w:rPr>
        <w:t>to source private sector funding.</w:t>
      </w:r>
      <w:r w:rsidR="00175E6D" w:rsidRPr="006552E9">
        <w:rPr>
          <w:rFonts w:cs="Arial"/>
        </w:rPr>
        <w:t xml:space="preserve"> </w:t>
      </w:r>
      <w:r w:rsidRPr="006552E9">
        <w:rPr>
          <w:rFonts w:cs="Arial"/>
        </w:rPr>
        <w:t>The programme provides advice and support to arts, culture and heritage organisations to help them increase the funding they receive from individuals, businesses, trusts and foundations.</w:t>
      </w:r>
      <w:r w:rsidR="00175E6D" w:rsidRPr="006552E9">
        <w:rPr>
          <w:rFonts w:cs="Arial"/>
        </w:rPr>
        <w:t xml:space="preserve"> </w:t>
      </w:r>
      <w:r w:rsidRPr="006552E9">
        <w:rPr>
          <w:rFonts w:cs="Arial"/>
        </w:rPr>
        <w:t xml:space="preserve">The pilot includes individual mentoring for selected organisations and nationwide workshops and </w:t>
      </w:r>
      <w:r w:rsidR="00AD2240">
        <w:rPr>
          <w:rFonts w:cs="Arial"/>
        </w:rPr>
        <w:t>master classes</w:t>
      </w:r>
      <w:r w:rsidRPr="006552E9">
        <w:rPr>
          <w:rFonts w:cs="Arial"/>
        </w:rPr>
        <w:t>.</w:t>
      </w:r>
      <w:r w:rsidR="00175E6D" w:rsidRPr="006552E9">
        <w:rPr>
          <w:rFonts w:cs="Arial"/>
        </w:rPr>
        <w:t xml:space="preserve"> </w:t>
      </w:r>
      <w:r w:rsidRPr="006552E9">
        <w:rPr>
          <w:rFonts w:cs="Arial"/>
        </w:rPr>
        <w:t>To incentivise financial support of the arts from the private sector, Creative New Zealand also matches the funds organisations raise through new or increased sponsorships or donations between $5,000 and $20,000 (criteria appl</w:t>
      </w:r>
      <w:r w:rsidR="00AD2240">
        <w:rPr>
          <w:rFonts w:cs="Arial"/>
        </w:rPr>
        <w:t>y</w:t>
      </w:r>
      <w:r w:rsidRPr="006552E9">
        <w:rPr>
          <w:rFonts w:cs="Arial"/>
        </w:rPr>
        <w:t>).</w:t>
      </w:r>
    </w:p>
    <w:p w:rsidR="003027E3" w:rsidRPr="006552E9" w:rsidRDefault="003027E3" w:rsidP="003027E3">
      <w:pPr>
        <w:pStyle w:val="NormalWeb"/>
        <w:rPr>
          <w:rFonts w:cs="Arial"/>
        </w:rPr>
      </w:pPr>
      <w:r w:rsidRPr="006552E9">
        <w:rPr>
          <w:rFonts w:cs="Arial"/>
          <w:szCs w:val="22"/>
        </w:rPr>
        <w:t>The pilot also works to facilitate partnerships between arts, culture and heritage organisations and individuals and businesses</w:t>
      </w:r>
      <w:r w:rsidR="00AD2240">
        <w:rPr>
          <w:rFonts w:cs="Arial"/>
          <w:szCs w:val="22"/>
        </w:rPr>
        <w:t>,</w:t>
      </w:r>
      <w:r w:rsidRPr="006552E9">
        <w:rPr>
          <w:rFonts w:cs="Arial"/>
          <w:szCs w:val="22"/>
        </w:rPr>
        <w:t xml:space="preserve"> through advocacy</w:t>
      </w:r>
      <w:r w:rsidR="00AD2240">
        <w:rPr>
          <w:rFonts w:cs="Arial"/>
          <w:szCs w:val="22"/>
        </w:rPr>
        <w:t>,</w:t>
      </w:r>
      <w:r w:rsidRPr="006552E9">
        <w:rPr>
          <w:rFonts w:cs="Arial"/>
          <w:szCs w:val="22"/>
        </w:rPr>
        <w:t xml:space="preserve"> to highlight the benefits of investing in the arts, culture and heritage.</w:t>
      </w:r>
    </w:p>
    <w:p w:rsidR="003027E3" w:rsidRPr="006552E9" w:rsidRDefault="003027E3" w:rsidP="003027E3">
      <w:pPr>
        <w:rPr>
          <w:color w:val="000000"/>
        </w:rPr>
      </w:pPr>
      <w:r w:rsidRPr="006552E9">
        <w:rPr>
          <w:color w:val="000000"/>
        </w:rPr>
        <w:t>The delivery of capability building is usually targeted to the needs of existing Creative New Zealand clients, rather than being fully contestable.</w:t>
      </w:r>
      <w:r w:rsidR="00175E6D" w:rsidRPr="006552E9">
        <w:rPr>
          <w:color w:val="000000"/>
        </w:rPr>
        <w:t xml:space="preserve"> </w:t>
      </w:r>
    </w:p>
    <w:p w:rsidR="003027E3" w:rsidRPr="006552E9" w:rsidRDefault="003027E3" w:rsidP="003027E3">
      <w:pPr>
        <w:rPr>
          <w:color w:val="000000"/>
        </w:rPr>
      </w:pPr>
      <w:r w:rsidRPr="006552E9">
        <w:rPr>
          <w:color w:val="000000"/>
        </w:rPr>
        <w:t xml:space="preserve">This output area supports </w:t>
      </w:r>
      <w:r w:rsidRPr="006552E9">
        <w:rPr>
          <w:b/>
          <w:bCs/>
          <w:color w:val="000000"/>
        </w:rPr>
        <w:t>all four outcomes</w:t>
      </w:r>
      <w:r w:rsidRPr="006552E9">
        <w:rPr>
          <w:color w:val="000000"/>
        </w:rPr>
        <w:t xml:space="preserve"> and is associated in particular with the ‘Developing potential’ impacts under </w:t>
      </w:r>
      <w:r w:rsidRPr="006552E9">
        <w:rPr>
          <w:b/>
          <w:bCs/>
          <w:color w:val="000000"/>
        </w:rPr>
        <w:t xml:space="preserve">Outcome 3: New Zealanders experience high-quality arts </w:t>
      </w:r>
      <w:r w:rsidRPr="006552E9">
        <w:rPr>
          <w:color w:val="000000"/>
        </w:rPr>
        <w:t>and</w:t>
      </w:r>
      <w:r w:rsidRPr="006552E9">
        <w:rPr>
          <w:b/>
          <w:bCs/>
          <w:color w:val="000000"/>
        </w:rPr>
        <w:t xml:space="preserve"> Outcome 4: New Zealand arts gain international success</w:t>
      </w:r>
      <w:r w:rsidRPr="006552E9">
        <w:rPr>
          <w:color w:val="000000"/>
        </w:rPr>
        <w:t>.</w:t>
      </w:r>
    </w:p>
    <w:p w:rsidR="003027E3" w:rsidRPr="006552E9" w:rsidRDefault="003027E3" w:rsidP="003027E3">
      <w:r w:rsidRPr="006552E9">
        <w:t xml:space="preserve"> </w:t>
      </w:r>
    </w:p>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11</w:t>
      </w:r>
      <w:r w:rsidR="006E1B57" w:rsidRPr="006552E9">
        <w:fldChar w:fldCharType="end"/>
      </w:r>
      <w:r w:rsidRPr="006552E9">
        <w:t>: Proof of performance, capability building, 2009/10 to 2012/13</w:t>
      </w:r>
      <w:r w:rsidR="00657DE1" w:rsidRPr="006552E9">
        <w:rPr>
          <w:rStyle w:val="FootnoteReference"/>
        </w:rPr>
        <w:footnoteReference w:id="23"/>
      </w:r>
    </w:p>
    <w:tbl>
      <w:tblPr>
        <w:tblW w:w="9298" w:type="dxa"/>
        <w:tblInd w:w="93" w:type="dxa"/>
        <w:tblCellMar>
          <w:top w:w="28" w:type="dxa"/>
          <w:left w:w="57" w:type="dxa"/>
          <w:bottom w:w="28" w:type="dxa"/>
          <w:right w:w="57" w:type="dxa"/>
        </w:tblCellMar>
        <w:tblLook w:val="04A0" w:firstRow="1" w:lastRow="0" w:firstColumn="1" w:lastColumn="0" w:noHBand="0" w:noVBand="1"/>
      </w:tblPr>
      <w:tblGrid>
        <w:gridCol w:w="1928"/>
        <w:gridCol w:w="1020"/>
        <w:gridCol w:w="1020"/>
        <w:gridCol w:w="1021"/>
        <w:gridCol w:w="1020"/>
        <w:gridCol w:w="1020"/>
        <w:gridCol w:w="850"/>
        <w:gridCol w:w="1419"/>
      </w:tblGrid>
      <w:tr w:rsidR="0007425F" w:rsidRPr="0007425F" w:rsidTr="00AD2240">
        <w:trPr>
          <w:tblHeader/>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Past </w:t>
            </w:r>
            <w:r w:rsidR="00AD2240" w:rsidRPr="0007425F">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Current </w:t>
            </w:r>
            <w:r w:rsidR="00AD2240" w:rsidRPr="0007425F">
              <w:rPr>
                <w:rFonts w:ascii="Arial Narrow" w:hAnsi="Arial Narrow"/>
                <w:b/>
                <w:bCs/>
                <w:color w:val="000000"/>
                <w:sz w:val="18"/>
                <w:szCs w:val="18"/>
              </w:rPr>
              <w:t>performance</w:t>
            </w:r>
          </w:p>
        </w:tc>
      </w:tr>
      <w:tr w:rsidR="0007425F" w:rsidRPr="0007425F" w:rsidTr="00AD2240">
        <w:trPr>
          <w:tblHead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07425F" w:rsidRPr="0007425F" w:rsidRDefault="0007425F" w:rsidP="0007425F">
            <w:pPr>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2009/10 Actual</w:t>
            </w: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2010/11 Actual</w:t>
            </w:r>
          </w:p>
        </w:tc>
        <w:tc>
          <w:tcPr>
            <w:tcW w:w="1021"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2011/12 Actual </w:t>
            </w:r>
          </w:p>
        </w:tc>
        <w:tc>
          <w:tcPr>
            <w:tcW w:w="1020"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xml:space="preserve">2012/13 Actual </w:t>
            </w:r>
            <w:r w:rsidR="00AD2240" w:rsidRPr="0007425F">
              <w:rPr>
                <w:rFonts w:ascii="Arial Narrow" w:hAnsi="Arial Narrow"/>
                <w:b/>
                <w:bCs/>
                <w:color w:val="000000"/>
                <w:sz w:val="18"/>
                <w:szCs w:val="18"/>
              </w:rPr>
              <w:t>year to date</w:t>
            </w:r>
          </w:p>
        </w:tc>
        <w:tc>
          <w:tcPr>
            <w:tcW w:w="850" w:type="dxa"/>
            <w:tcBorders>
              <w:top w:val="nil"/>
              <w:left w:val="single" w:sz="4" w:space="0" w:color="auto"/>
              <w:bottom w:val="nil"/>
              <w:right w:val="single" w:sz="4" w:space="0" w:color="auto"/>
            </w:tcBorders>
            <w:shd w:val="clear" w:color="000000" w:fill="B8CCE4"/>
            <w:vAlign w:val="center"/>
            <w:hideMark/>
          </w:tcPr>
          <w:p w:rsidR="0007425F" w:rsidRPr="0007425F" w:rsidRDefault="00AD2240" w:rsidP="00AD2240">
            <w:pPr>
              <w:spacing w:before="0"/>
              <w:jc w:val="center"/>
              <w:rPr>
                <w:rFonts w:ascii="Arial Narrow" w:hAnsi="Arial Narrow"/>
                <w:b/>
                <w:bCs/>
                <w:color w:val="000000"/>
                <w:sz w:val="18"/>
                <w:szCs w:val="18"/>
              </w:rPr>
            </w:pPr>
            <w:r>
              <w:rPr>
                <w:rFonts w:ascii="Arial Narrow" w:hAnsi="Arial Narrow"/>
                <w:b/>
                <w:bCs/>
                <w:color w:val="000000"/>
                <w:sz w:val="18"/>
                <w:szCs w:val="18"/>
              </w:rPr>
              <w:t xml:space="preserve">Variance to forecast </w:t>
            </w:r>
            <w:r>
              <w:rPr>
                <w:rFonts w:ascii="Arial Narrow" w:hAnsi="Arial Narrow"/>
                <w:b/>
                <w:bCs/>
                <w:color w:val="000000"/>
                <w:sz w:val="18"/>
                <w:szCs w:val="18"/>
              </w:rPr>
              <w:br/>
              <w:t>(+/–%)</w:t>
            </w:r>
          </w:p>
        </w:tc>
        <w:tc>
          <w:tcPr>
            <w:tcW w:w="1417" w:type="dxa"/>
            <w:tcBorders>
              <w:top w:val="nil"/>
              <w:left w:val="nil"/>
              <w:bottom w:val="single" w:sz="4" w:space="0" w:color="auto"/>
              <w:right w:val="single" w:sz="4" w:space="0" w:color="auto"/>
            </w:tcBorders>
            <w:shd w:val="clear" w:color="000000" w:fill="B8CCE4"/>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Notes</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Expenditure</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07425F" w:rsidRPr="0007425F" w:rsidRDefault="0007425F" w:rsidP="0007425F">
            <w:pPr>
              <w:spacing w:before="0"/>
              <w:jc w:val="center"/>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cantSplit/>
        </w:trPr>
        <w:tc>
          <w:tcPr>
            <w:tcW w:w="1928" w:type="dxa"/>
            <w:tcBorders>
              <w:top w:val="nil"/>
              <w:left w:val="single" w:sz="4" w:space="0" w:color="auto"/>
              <w:bottom w:val="single" w:sz="4" w:space="0" w:color="auto"/>
              <w:right w:val="nil"/>
            </w:tcBorders>
            <w:shd w:val="clear" w:color="auto" w:fill="auto"/>
            <w:vAlign w:val="center"/>
            <w:hideMark/>
          </w:tcPr>
          <w:p w:rsidR="0007425F" w:rsidRPr="0007425F" w:rsidRDefault="0007425F" w:rsidP="0007425F">
            <w:pPr>
              <w:spacing w:before="0"/>
              <w:jc w:val="left"/>
              <w:rPr>
                <w:rFonts w:ascii="Arial Narrow" w:hAnsi="Arial Narrow"/>
                <w:color w:val="000000"/>
                <w:sz w:val="18"/>
                <w:szCs w:val="18"/>
              </w:rPr>
            </w:pPr>
            <w:r w:rsidRPr="0007425F">
              <w:rPr>
                <w:rFonts w:ascii="Arial Narrow" w:hAnsi="Arial Narrow"/>
                <w:color w:val="000000"/>
                <w:sz w:val="18"/>
                <w:szCs w:val="18"/>
              </w:rPr>
              <w:t>Total expenditure</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1,013,862 </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1,302,151 </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1,126,522 </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1,750,180 </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1,505,842 </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(14%)</w:t>
            </w:r>
          </w:p>
        </w:tc>
        <w:tc>
          <w:tcPr>
            <w:tcW w:w="1417" w:type="dxa"/>
            <w:tcBorders>
              <w:top w:val="nil"/>
              <w:left w:val="nil"/>
              <w:bottom w:val="single" w:sz="4" w:space="0" w:color="auto"/>
              <w:right w:val="single" w:sz="4" w:space="0" w:color="auto"/>
            </w:tcBorders>
            <w:shd w:val="clear" w:color="auto" w:fill="auto"/>
            <w:vAlign w:val="bottom"/>
            <w:hideMark/>
          </w:tcPr>
          <w:p w:rsidR="0007425F" w:rsidRPr="0007425F" w:rsidRDefault="0007425F" w:rsidP="00AD2240">
            <w:pPr>
              <w:spacing w:before="0"/>
              <w:jc w:val="center"/>
              <w:rPr>
                <w:rFonts w:ascii="Arial Narrow" w:hAnsi="Arial Narrow"/>
                <w:sz w:val="18"/>
                <w:szCs w:val="18"/>
              </w:rPr>
            </w:pPr>
            <w:r w:rsidRPr="0007425F">
              <w:rPr>
                <w:rFonts w:ascii="Arial Narrow" w:hAnsi="Arial Narrow"/>
                <w:sz w:val="18"/>
                <w:szCs w:val="18"/>
              </w:rPr>
              <w:t>Forecast not met.</w:t>
            </w:r>
            <w:r w:rsidR="005173DA">
              <w:rPr>
                <w:rFonts w:ascii="Arial Narrow" w:hAnsi="Arial Narrow"/>
                <w:sz w:val="18"/>
                <w:szCs w:val="18"/>
              </w:rPr>
              <w:t xml:space="preserve"> </w:t>
            </w:r>
            <w:r w:rsidRPr="0007425F">
              <w:rPr>
                <w:rFonts w:ascii="Arial Narrow" w:hAnsi="Arial Narrow"/>
                <w:sz w:val="18"/>
                <w:szCs w:val="18"/>
              </w:rPr>
              <w:t>Some initiatives did</w:t>
            </w:r>
            <w:r w:rsidR="00AD2240">
              <w:rPr>
                <w:rFonts w:ascii="Arial Narrow" w:hAnsi="Arial Narrow"/>
                <w:sz w:val="18"/>
                <w:szCs w:val="18"/>
              </w:rPr>
              <w:t xml:space="preserve"> not</w:t>
            </w:r>
            <w:r w:rsidRPr="0007425F">
              <w:rPr>
                <w:rFonts w:ascii="Arial Narrow" w:hAnsi="Arial Narrow"/>
                <w:sz w:val="18"/>
                <w:szCs w:val="18"/>
              </w:rPr>
              <w:t xml:space="preserve"> take place and others presented unanticipated savings</w:t>
            </w:r>
          </w:p>
        </w:tc>
      </w:tr>
      <w:tr w:rsidR="0007425F" w:rsidRPr="0007425F" w:rsidTr="0007425F">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Quantity</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877D63">
            <w:pPr>
              <w:spacing w:before="0"/>
              <w:jc w:val="left"/>
              <w:rPr>
                <w:rFonts w:ascii="Arial Narrow" w:hAnsi="Arial Narrow"/>
                <w:color w:val="000000"/>
                <w:sz w:val="18"/>
                <w:szCs w:val="18"/>
              </w:rPr>
            </w:pPr>
            <w:r w:rsidRPr="0007425F">
              <w:rPr>
                <w:rFonts w:ascii="Arial Narrow" w:hAnsi="Arial Narrow"/>
                <w:color w:val="000000"/>
                <w:sz w:val="18"/>
                <w:szCs w:val="18"/>
              </w:rPr>
              <w:t>Number of capability</w:t>
            </w:r>
            <w:r w:rsidR="00877D63">
              <w:rPr>
                <w:rFonts w:ascii="Arial Narrow" w:hAnsi="Arial Narrow"/>
                <w:color w:val="000000"/>
                <w:sz w:val="18"/>
                <w:szCs w:val="18"/>
              </w:rPr>
              <w:t xml:space="preserve"> </w:t>
            </w:r>
            <w:r w:rsidRPr="0007425F">
              <w:rPr>
                <w:rFonts w:ascii="Arial Narrow" w:hAnsi="Arial Narrow"/>
                <w:color w:val="000000"/>
                <w:sz w:val="18"/>
                <w:szCs w:val="18"/>
              </w:rPr>
              <w:t>building initiatives delivered to the sector</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31</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57</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32</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31</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45</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45%</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Exceeded forecast.</w:t>
            </w:r>
            <w:r w:rsidRPr="0007425F">
              <w:rPr>
                <w:rFonts w:ascii="Arial Narrow" w:hAnsi="Arial Narrow"/>
                <w:color w:val="000000"/>
                <w:sz w:val="18"/>
                <w:szCs w:val="18"/>
              </w:rPr>
              <w:br/>
              <w:t>Results include Creative Giving initiatives not in forecast</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877D63">
            <w:pPr>
              <w:spacing w:before="0"/>
              <w:jc w:val="left"/>
              <w:rPr>
                <w:rFonts w:ascii="Arial Narrow" w:hAnsi="Arial Narrow"/>
                <w:color w:val="000000"/>
                <w:sz w:val="18"/>
                <w:szCs w:val="18"/>
              </w:rPr>
            </w:pPr>
            <w:r w:rsidRPr="0007425F">
              <w:rPr>
                <w:rFonts w:ascii="Arial Narrow" w:hAnsi="Arial Narrow"/>
                <w:color w:val="000000"/>
                <w:sz w:val="18"/>
                <w:szCs w:val="18"/>
              </w:rPr>
              <w:t>Number of person-days of workshop</w:t>
            </w:r>
            <w:r w:rsidR="007471AE">
              <w:rPr>
                <w:rFonts w:ascii="Arial Narrow" w:hAnsi="Arial Narrow"/>
                <w:color w:val="000000"/>
                <w:sz w:val="18"/>
                <w:szCs w:val="18"/>
              </w:rPr>
              <w:t xml:space="preserve"> based</w:t>
            </w:r>
            <w:r w:rsidRPr="0007425F">
              <w:rPr>
                <w:rFonts w:ascii="Arial Narrow" w:hAnsi="Arial Narrow"/>
                <w:color w:val="000000"/>
                <w:sz w:val="18"/>
                <w:szCs w:val="18"/>
              </w:rPr>
              <w:t xml:space="preserve"> capability</w:t>
            </w:r>
            <w:r w:rsidR="00877D63">
              <w:rPr>
                <w:rFonts w:ascii="Arial Narrow" w:hAnsi="Arial Narrow"/>
                <w:color w:val="000000"/>
                <w:sz w:val="18"/>
                <w:szCs w:val="18"/>
              </w:rPr>
              <w:t xml:space="preserve"> </w:t>
            </w:r>
            <w:r w:rsidRPr="0007425F">
              <w:rPr>
                <w:rFonts w:ascii="Arial Narrow" w:hAnsi="Arial Narrow"/>
                <w:color w:val="000000"/>
                <w:sz w:val="18"/>
                <w:szCs w:val="18"/>
              </w:rPr>
              <w:t>building initiatives delivered</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New</w:t>
            </w:r>
            <w:r w:rsidRPr="0007425F">
              <w:rPr>
                <w:rFonts w:ascii="Arial Narrow" w:hAnsi="Arial Narrow"/>
                <w:color w:val="000000"/>
                <w:sz w:val="18"/>
                <w:szCs w:val="18"/>
              </w:rPr>
              <w:br/>
              <w:t>measure</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500</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218</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600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903</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sz w:val="18"/>
                <w:szCs w:val="18"/>
              </w:rPr>
            </w:pPr>
            <w:r w:rsidRPr="0007425F">
              <w:rPr>
                <w:rFonts w:ascii="Arial Narrow" w:hAnsi="Arial Narrow"/>
                <w:sz w:val="18"/>
                <w:szCs w:val="18"/>
              </w:rPr>
              <w:t>51%</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AD2240">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Exceeded forecast.</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Results include </w:t>
            </w:r>
            <w:r w:rsidR="00AD2240">
              <w:rPr>
                <w:rFonts w:ascii="Arial Narrow" w:hAnsi="Arial Narrow"/>
                <w:color w:val="000000"/>
                <w:sz w:val="18"/>
                <w:szCs w:val="18"/>
              </w:rPr>
              <w:t xml:space="preserve">the </w:t>
            </w:r>
            <w:r w:rsidRPr="0007425F">
              <w:rPr>
                <w:rFonts w:ascii="Arial Narrow" w:hAnsi="Arial Narrow"/>
                <w:color w:val="000000"/>
                <w:sz w:val="18"/>
                <w:szCs w:val="18"/>
              </w:rPr>
              <w:t xml:space="preserve">well supported National Arts Conference </w:t>
            </w:r>
          </w:p>
        </w:tc>
      </w:tr>
      <w:tr w:rsidR="0007425F" w:rsidRPr="0007425F" w:rsidTr="009D3CF3">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877D63">
            <w:pPr>
              <w:spacing w:before="0"/>
              <w:jc w:val="left"/>
              <w:rPr>
                <w:rFonts w:ascii="Arial Narrow" w:hAnsi="Arial Narrow"/>
                <w:color w:val="000000"/>
                <w:sz w:val="18"/>
                <w:szCs w:val="18"/>
              </w:rPr>
            </w:pPr>
            <w:r w:rsidRPr="0007425F">
              <w:rPr>
                <w:rFonts w:ascii="Arial Narrow" w:hAnsi="Arial Narrow"/>
                <w:color w:val="000000"/>
                <w:sz w:val="18"/>
                <w:szCs w:val="18"/>
              </w:rPr>
              <w:t>Number of participants in experiential capability</w:t>
            </w:r>
            <w:r w:rsidR="00877D63">
              <w:rPr>
                <w:rFonts w:ascii="Arial Narrow" w:hAnsi="Arial Narrow"/>
                <w:color w:val="000000"/>
                <w:sz w:val="18"/>
                <w:szCs w:val="18"/>
              </w:rPr>
              <w:t xml:space="preserve"> </w:t>
            </w:r>
            <w:r w:rsidRPr="0007425F">
              <w:rPr>
                <w:rFonts w:ascii="Arial Narrow" w:hAnsi="Arial Narrow"/>
                <w:color w:val="000000"/>
                <w:sz w:val="18"/>
                <w:szCs w:val="18"/>
              </w:rPr>
              <w:t>building initiatives</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New</w:t>
            </w:r>
            <w:r w:rsidRPr="0007425F">
              <w:rPr>
                <w:rFonts w:ascii="Arial Narrow" w:hAnsi="Arial Narrow"/>
                <w:color w:val="000000"/>
                <w:sz w:val="18"/>
                <w:szCs w:val="18"/>
              </w:rPr>
              <w:br/>
              <w:t>measure</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New</w:t>
            </w:r>
            <w:r w:rsidRPr="0007425F">
              <w:rPr>
                <w:rFonts w:ascii="Arial Narrow" w:hAnsi="Arial Narrow"/>
                <w:color w:val="000000"/>
                <w:sz w:val="18"/>
                <w:szCs w:val="18"/>
              </w:rPr>
              <w:br/>
              <w:t>measure</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128</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94</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107</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sz w:val="18"/>
                <w:szCs w:val="18"/>
              </w:rPr>
            </w:pPr>
            <w:r w:rsidRPr="0007425F">
              <w:rPr>
                <w:rFonts w:ascii="Arial Narrow" w:hAnsi="Arial Narrow"/>
                <w:sz w:val="18"/>
                <w:szCs w:val="18"/>
              </w:rPr>
              <w:t>14%</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Exceeded forecast. Results include markets and fairs; digital strategy, evaluating databases and strategic planning initiatives </w:t>
            </w:r>
          </w:p>
        </w:tc>
      </w:tr>
      <w:tr w:rsidR="0007425F" w:rsidRPr="0007425F" w:rsidTr="009D3CF3">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07425F" w:rsidRPr="0007425F" w:rsidRDefault="0007425F" w:rsidP="009D3CF3">
            <w:pPr>
              <w:keepNext/>
              <w:spacing w:before="0"/>
              <w:jc w:val="left"/>
              <w:rPr>
                <w:rFonts w:ascii="Arial Narrow" w:hAnsi="Arial Narrow"/>
                <w:b/>
                <w:bCs/>
                <w:color w:val="000000"/>
                <w:sz w:val="18"/>
                <w:szCs w:val="18"/>
              </w:rPr>
            </w:pPr>
            <w:r w:rsidRPr="0007425F">
              <w:rPr>
                <w:rFonts w:ascii="Arial Narrow" w:hAnsi="Arial Narrow"/>
                <w:b/>
                <w:bCs/>
                <w:color w:val="000000"/>
                <w:sz w:val="18"/>
                <w:szCs w:val="18"/>
              </w:rPr>
              <w:t>Quality</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c>
          <w:tcPr>
            <w:tcW w:w="1417" w:type="dxa"/>
            <w:tcBorders>
              <w:top w:val="nil"/>
              <w:left w:val="nil"/>
              <w:bottom w:val="single" w:sz="4" w:space="0" w:color="auto"/>
              <w:right w:val="single" w:sz="4" w:space="0" w:color="auto"/>
            </w:tcBorders>
            <w:shd w:val="clear" w:color="000000" w:fill="DCE6F1"/>
            <w:vAlign w:val="center"/>
            <w:hideMark/>
          </w:tcPr>
          <w:p w:rsidR="0007425F" w:rsidRPr="0007425F" w:rsidRDefault="0007425F" w:rsidP="0007425F">
            <w:pPr>
              <w:spacing w:before="0"/>
              <w:jc w:val="left"/>
              <w:rPr>
                <w:rFonts w:ascii="Arial Narrow" w:hAnsi="Arial Narrow"/>
                <w:b/>
                <w:bCs/>
                <w:color w:val="000000"/>
                <w:sz w:val="18"/>
                <w:szCs w:val="18"/>
              </w:rPr>
            </w:pPr>
            <w:r w:rsidRPr="0007425F">
              <w:rPr>
                <w:rFonts w:ascii="Arial Narrow" w:hAnsi="Arial Narrow"/>
                <w:b/>
                <w:bCs/>
                <w:color w:val="000000"/>
                <w:sz w:val="18"/>
                <w:szCs w:val="18"/>
              </w:rPr>
              <w:t> </w:t>
            </w:r>
          </w:p>
        </w:tc>
      </w:tr>
      <w:tr w:rsidR="0007425F" w:rsidRPr="0007425F" w:rsidTr="0007425F">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9D3CF3">
            <w:pPr>
              <w:keepNext/>
              <w:spacing w:before="0"/>
              <w:jc w:val="left"/>
              <w:rPr>
                <w:rFonts w:ascii="Arial Narrow" w:hAnsi="Arial Narrow"/>
                <w:color w:val="000000"/>
                <w:sz w:val="18"/>
                <w:szCs w:val="18"/>
              </w:rPr>
            </w:pPr>
            <w:r w:rsidRPr="0007425F">
              <w:rPr>
                <w:rFonts w:ascii="Arial Narrow" w:hAnsi="Arial Narrow"/>
                <w:color w:val="000000"/>
                <w:sz w:val="18"/>
                <w:szCs w:val="18"/>
              </w:rPr>
              <w:t>Proportion of participants who fin</w:t>
            </w:r>
            <w:r w:rsidR="00877D63">
              <w:rPr>
                <w:rFonts w:ascii="Arial Narrow" w:hAnsi="Arial Narrow"/>
                <w:color w:val="000000"/>
                <w:sz w:val="18"/>
                <w:szCs w:val="18"/>
              </w:rPr>
              <w:t>d the workshop</w:t>
            </w:r>
            <w:r w:rsidR="007471AE">
              <w:rPr>
                <w:rFonts w:ascii="Arial Narrow" w:hAnsi="Arial Narrow"/>
                <w:color w:val="000000"/>
                <w:sz w:val="18"/>
                <w:szCs w:val="18"/>
              </w:rPr>
              <w:t xml:space="preserve"> based</w:t>
            </w:r>
            <w:r w:rsidR="00877D63">
              <w:rPr>
                <w:rFonts w:ascii="Arial Narrow" w:hAnsi="Arial Narrow"/>
                <w:color w:val="000000"/>
                <w:sz w:val="18"/>
                <w:szCs w:val="18"/>
              </w:rPr>
              <w:t xml:space="preserve"> capability </w:t>
            </w:r>
            <w:r w:rsidRPr="0007425F">
              <w:rPr>
                <w:rFonts w:ascii="Arial Narrow" w:hAnsi="Arial Narrow"/>
                <w:color w:val="000000"/>
                <w:sz w:val="18"/>
                <w:szCs w:val="18"/>
              </w:rPr>
              <w:t>building initiatives to be relevant and helpful</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88%</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94%</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91%</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94%</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sz w:val="18"/>
                <w:szCs w:val="18"/>
              </w:rPr>
            </w:pPr>
            <w:r w:rsidRPr="0007425F">
              <w:rPr>
                <w:rFonts w:ascii="Arial Narrow" w:hAnsi="Arial Narrow"/>
                <w:sz w:val="18"/>
                <w:szCs w:val="18"/>
              </w:rPr>
              <w:t>4%</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Forecast met. </w:t>
            </w:r>
            <w:r w:rsidRPr="0007425F">
              <w:rPr>
                <w:rFonts w:ascii="Arial Narrow" w:hAnsi="Arial Narrow"/>
                <w:color w:val="000000"/>
                <w:sz w:val="18"/>
                <w:szCs w:val="18"/>
              </w:rPr>
              <w:br/>
              <w:t xml:space="preserve">Based on 170 responses concerning 13 initiatives </w:t>
            </w:r>
          </w:p>
        </w:tc>
      </w:tr>
      <w:tr w:rsidR="0007425F" w:rsidRPr="0007425F" w:rsidTr="0007425F">
        <w:trPr>
          <w:cantSplit/>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07425F" w:rsidRPr="0007425F" w:rsidRDefault="0007425F" w:rsidP="0007425F">
            <w:pPr>
              <w:spacing w:before="0"/>
              <w:jc w:val="left"/>
              <w:rPr>
                <w:rFonts w:ascii="Arial Narrow" w:hAnsi="Arial Narrow"/>
                <w:color w:val="000000"/>
                <w:sz w:val="18"/>
                <w:szCs w:val="18"/>
              </w:rPr>
            </w:pPr>
            <w:r w:rsidRPr="0007425F">
              <w:rPr>
                <w:rFonts w:ascii="Arial Narrow" w:hAnsi="Arial Narrow"/>
                <w:color w:val="000000"/>
                <w:sz w:val="18"/>
                <w:szCs w:val="18"/>
              </w:rPr>
              <w:t>Proportion of participants in experiential initiatives who find them to be relevant and effective</w:t>
            </w:r>
          </w:p>
        </w:tc>
        <w:tc>
          <w:tcPr>
            <w:tcW w:w="1020" w:type="dxa"/>
            <w:vMerge/>
            <w:tcBorders>
              <w:top w:val="nil"/>
              <w:left w:val="single" w:sz="4" w:space="0" w:color="auto"/>
              <w:bottom w:val="single" w:sz="4" w:space="0" w:color="000000"/>
              <w:right w:val="single" w:sz="4" w:space="0" w:color="auto"/>
            </w:tcBorders>
            <w:vAlign w:val="center"/>
            <w:hideMark/>
          </w:tcPr>
          <w:p w:rsidR="0007425F" w:rsidRPr="0007425F" w:rsidRDefault="0007425F" w:rsidP="0007425F">
            <w:pPr>
              <w:spacing w:before="0"/>
              <w:jc w:val="left"/>
              <w:rPr>
                <w:rFonts w:ascii="Arial Narrow" w:hAnsi="Arial Narrow"/>
                <w:color w:val="000000"/>
                <w:sz w:val="18"/>
                <w:szCs w:val="18"/>
              </w:rPr>
            </w:pP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92%</w:t>
            </w:r>
          </w:p>
        </w:tc>
        <w:tc>
          <w:tcPr>
            <w:tcW w:w="1021"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75%</w:t>
            </w:r>
          </w:p>
        </w:tc>
        <w:tc>
          <w:tcPr>
            <w:tcW w:w="102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33%</w:t>
            </w:r>
          </w:p>
        </w:tc>
        <w:tc>
          <w:tcPr>
            <w:tcW w:w="1417" w:type="dxa"/>
            <w:tcBorders>
              <w:top w:val="nil"/>
              <w:left w:val="nil"/>
              <w:bottom w:val="single" w:sz="4" w:space="0" w:color="auto"/>
              <w:right w:val="single" w:sz="4" w:space="0" w:color="auto"/>
            </w:tcBorders>
            <w:shd w:val="clear" w:color="auto" w:fill="auto"/>
            <w:vAlign w:val="center"/>
            <w:hideMark/>
          </w:tcPr>
          <w:p w:rsidR="0007425F" w:rsidRPr="0007425F" w:rsidRDefault="0007425F" w:rsidP="0007425F">
            <w:pPr>
              <w:spacing w:before="0"/>
              <w:jc w:val="center"/>
              <w:rPr>
                <w:rFonts w:ascii="Arial Narrow" w:hAnsi="Arial Narrow"/>
                <w:color w:val="000000"/>
                <w:sz w:val="18"/>
                <w:szCs w:val="18"/>
              </w:rPr>
            </w:pPr>
            <w:r w:rsidRPr="0007425F">
              <w:rPr>
                <w:rFonts w:ascii="Arial Narrow" w:hAnsi="Arial Narrow"/>
                <w:color w:val="000000"/>
                <w:sz w:val="18"/>
                <w:szCs w:val="18"/>
              </w:rPr>
              <w:t xml:space="preserve"> Exceeded forecast.</w:t>
            </w:r>
            <w:r w:rsidR="005173DA">
              <w:rPr>
                <w:rFonts w:ascii="Arial Narrow" w:hAnsi="Arial Narrow"/>
                <w:color w:val="000000"/>
                <w:sz w:val="18"/>
                <w:szCs w:val="18"/>
              </w:rPr>
              <w:t xml:space="preserve"> </w:t>
            </w:r>
            <w:r w:rsidRPr="0007425F">
              <w:rPr>
                <w:rFonts w:ascii="Arial Narrow" w:hAnsi="Arial Narrow"/>
                <w:color w:val="000000"/>
                <w:sz w:val="18"/>
                <w:szCs w:val="18"/>
              </w:rPr>
              <w:t xml:space="preserve">Forecast has been increased for 2013/14 </w:t>
            </w:r>
          </w:p>
        </w:tc>
      </w:tr>
    </w:tbl>
    <w:p w:rsidR="003027E3" w:rsidRPr="006552E9" w:rsidRDefault="003027E3" w:rsidP="003027E3">
      <w:pPr>
        <w:pStyle w:val="Tabletext"/>
      </w:pPr>
    </w:p>
    <w:p w:rsidR="003027E3" w:rsidRPr="006552E9" w:rsidRDefault="003027E3" w:rsidP="003027E3">
      <w:pPr>
        <w:pStyle w:val="Heading2"/>
      </w:pPr>
      <w:r w:rsidRPr="006552E9">
        <w:br w:type="page"/>
      </w:r>
      <w:bookmarkStart w:id="75" w:name="_Toc373415045"/>
      <w:r w:rsidRPr="006552E9">
        <w:t>Output Area 3: Advocacy for the arts</w:t>
      </w:r>
      <w:bookmarkEnd w:id="75"/>
    </w:p>
    <w:p w:rsidR="003027E3" w:rsidRPr="006552E9" w:rsidRDefault="003027E3" w:rsidP="003027E3">
      <w:r w:rsidRPr="006552E9">
        <w:t xml:space="preserve">The advocacy programme aims to raise awareness of the role and contribution of the arts, highlight </w:t>
      </w:r>
      <w:r w:rsidR="00AD2240">
        <w:t>important</w:t>
      </w:r>
      <w:r w:rsidRPr="006552E9">
        <w:t xml:space="preserve"> issues affecting the sector and change the environment for the benefit of the arts.</w:t>
      </w:r>
    </w:p>
    <w:p w:rsidR="003027E3" w:rsidRPr="006552E9" w:rsidRDefault="003027E3" w:rsidP="003027E3">
      <w:r w:rsidRPr="006552E9">
        <w:t xml:space="preserve">We advocate by carrying out research – in particular, the triennial </w:t>
      </w:r>
      <w:r w:rsidRPr="006552E9">
        <w:rPr>
          <w:i/>
        </w:rPr>
        <w:t xml:space="preserve">New Zealanders and the arts </w:t>
      </w:r>
      <w:r w:rsidRPr="006552E9">
        <w:t>survey</w:t>
      </w:r>
      <w:r w:rsidR="00CC38E2">
        <w:t>;</w:t>
      </w:r>
      <w:r w:rsidRPr="006552E9">
        <w:t xml:space="preserve"> fostering relationships and partnerships, both nationally and internationally; participating in cross-government initiatives and, where relevant, making submissions on issues facing the arts sector or Creative New Zealand.</w:t>
      </w:r>
    </w:p>
    <w:p w:rsidR="003027E3" w:rsidRPr="006552E9" w:rsidRDefault="003027E3" w:rsidP="003027E3">
      <w:r w:rsidRPr="006552E9">
        <w:t>All Creative New Zealand staff play a role in advocating for and promoting the arts; therefore, the costs of advocacy lie mostly within personnel costs.</w:t>
      </w:r>
      <w:r w:rsidR="00175E6D" w:rsidRPr="006552E9">
        <w:t xml:space="preserve"> </w:t>
      </w:r>
      <w:r w:rsidRPr="006552E9">
        <w:t>The advocacy costs listed in this report are those of producing research and resources that are made publicly available.</w:t>
      </w:r>
    </w:p>
    <w:p w:rsidR="003027E3" w:rsidRPr="006552E9" w:rsidRDefault="003027E3" w:rsidP="003027E3">
      <w:r w:rsidRPr="006552E9">
        <w:t>The advocacy programme includes the following activities:</w:t>
      </w:r>
    </w:p>
    <w:p w:rsidR="003027E3" w:rsidRPr="006552E9" w:rsidRDefault="003027E3" w:rsidP="003027E3">
      <w:pPr>
        <w:pStyle w:val="Bullet"/>
      </w:pPr>
      <w:r w:rsidRPr="006552E9">
        <w:t>carrying out research for the arts sector.</w:t>
      </w:r>
      <w:r w:rsidR="00175E6D" w:rsidRPr="006552E9">
        <w:t xml:space="preserve"> </w:t>
      </w:r>
      <w:r w:rsidRPr="006552E9">
        <w:t xml:space="preserve">In 2012/13, we published discussion papers on Pacific arts and </w:t>
      </w:r>
      <w:r w:rsidR="00AD2240" w:rsidRPr="006552E9">
        <w:t xml:space="preserve">music </w:t>
      </w:r>
      <w:r w:rsidRPr="006552E9">
        <w:t>arts development and the final result of our 2011/12 review of ngā toi Māori</w:t>
      </w:r>
      <w:r w:rsidRPr="006552E9">
        <w:rPr>
          <w:rStyle w:val="FootnoteReference"/>
        </w:rPr>
        <w:footnoteReference w:id="24"/>
      </w:r>
    </w:p>
    <w:p w:rsidR="003027E3" w:rsidRPr="006552E9" w:rsidRDefault="003027E3" w:rsidP="003027E3">
      <w:pPr>
        <w:pStyle w:val="Bullet"/>
      </w:pPr>
      <w:r w:rsidRPr="006552E9">
        <w:t>developing strategic partnerships to increase support for the arts.</w:t>
      </w:r>
      <w:r w:rsidR="00175E6D" w:rsidRPr="006552E9">
        <w:t xml:space="preserve"> </w:t>
      </w:r>
      <w:r w:rsidRPr="006552E9">
        <w:t>Our</w:t>
      </w:r>
      <w:r w:rsidR="00AD2240">
        <w:t xml:space="preserve"> strategic</w:t>
      </w:r>
      <w:r w:rsidRPr="006552E9">
        <w:t xml:space="preserve"> partners in 2012/13 </w:t>
      </w:r>
      <w:r w:rsidR="00BD498B" w:rsidRPr="006552E9">
        <w:t>included</w:t>
      </w:r>
      <w:r w:rsidRPr="006552E9">
        <w:t xml:space="preserve"> Auckland Council and the ASB Community Trust, and Christchurch City Council and </w:t>
      </w:r>
      <w:r w:rsidR="00AD2240">
        <w:t>CERA</w:t>
      </w:r>
      <w:r w:rsidR="00175E6D" w:rsidRPr="006552E9">
        <w:t xml:space="preserve"> </w:t>
      </w:r>
    </w:p>
    <w:p w:rsidR="003027E3" w:rsidRPr="006552E9" w:rsidRDefault="003027E3" w:rsidP="003027E3">
      <w:pPr>
        <w:pStyle w:val="Bullet"/>
      </w:pPr>
      <w:r w:rsidRPr="006552E9">
        <w:t>participating in cross-government initiatives.</w:t>
      </w:r>
      <w:r w:rsidR="00175E6D" w:rsidRPr="006552E9">
        <w:t xml:space="preserve"> </w:t>
      </w:r>
      <w:r w:rsidRPr="006552E9">
        <w:t>During 2012/13, we continued to work with CERA, the Ministry for Culture and Heritage and Christchurch City Council on ways in which the arts can help the recovery of Christchurch.</w:t>
      </w:r>
      <w:r w:rsidR="00175E6D" w:rsidRPr="006552E9">
        <w:t xml:space="preserve"> </w:t>
      </w:r>
      <w:r w:rsidRPr="006552E9">
        <w:t>We also worked with the Ministry on its review of the professional orchestras and with NZ On Air and the New Zealand Music Commission on clarifying support for contemporary popular music</w:t>
      </w:r>
      <w:r w:rsidR="00175E6D" w:rsidRPr="006552E9">
        <w:t xml:space="preserve"> </w:t>
      </w:r>
    </w:p>
    <w:p w:rsidR="003027E3" w:rsidRPr="006552E9" w:rsidRDefault="003027E3" w:rsidP="003027E3">
      <w:pPr>
        <w:pStyle w:val="Bullet"/>
        <w:rPr>
          <w:rFonts w:eastAsia="Calibri"/>
        </w:rPr>
      </w:pPr>
      <w:r w:rsidRPr="006552E9">
        <w:t>where relevant, making submissions on issues affecting the arts sector or Creative New Zealand.</w:t>
      </w:r>
      <w:r w:rsidR="00175E6D" w:rsidRPr="006552E9">
        <w:t xml:space="preserve"> </w:t>
      </w:r>
      <w:r w:rsidRPr="006552E9">
        <w:t xml:space="preserve">In 2012/13, Creative New Zealand made </w:t>
      </w:r>
      <w:r w:rsidR="00B1339A" w:rsidRPr="006552E9">
        <w:t>six</w:t>
      </w:r>
      <w:r w:rsidRPr="006552E9">
        <w:t xml:space="preserve"> submissions to territorial authorities on draft plans or policies and </w:t>
      </w:r>
      <w:r w:rsidR="00C6087F" w:rsidRPr="006552E9">
        <w:t>one</w:t>
      </w:r>
      <w:r w:rsidRPr="006552E9">
        <w:t xml:space="preserve"> to the select committee on proposed changes to the Local Government Act.</w:t>
      </w:r>
    </w:p>
    <w:p w:rsidR="001B4AC3" w:rsidRPr="006552E9" w:rsidRDefault="001B4AC3" w:rsidP="001B4AC3">
      <w:pPr>
        <w:pStyle w:val="Bullet"/>
        <w:numPr>
          <w:ilvl w:val="0"/>
          <w:numId w:val="0"/>
        </w:numPr>
        <w:rPr>
          <w:rFonts w:eastAsia="Calibri"/>
        </w:rPr>
      </w:pPr>
    </w:p>
    <w:p w:rsidR="003027E3" w:rsidRPr="006552E9" w:rsidRDefault="003027E3" w:rsidP="003027E3">
      <w:pPr>
        <w:pStyle w:val="Caption"/>
        <w:keepNext/>
        <w:jc w:val="both"/>
      </w:pPr>
      <w:r w:rsidRPr="006552E9">
        <w:t xml:space="preserve">Table </w:t>
      </w:r>
      <w:r w:rsidR="006E1B57" w:rsidRPr="006552E9">
        <w:fldChar w:fldCharType="begin"/>
      </w:r>
      <w:r w:rsidR="00D12AC4" w:rsidRPr="006552E9">
        <w:instrText xml:space="preserve"> SEQ Table \* ARABIC </w:instrText>
      </w:r>
      <w:r w:rsidR="006E1B57" w:rsidRPr="006552E9">
        <w:fldChar w:fldCharType="separate"/>
      </w:r>
      <w:r w:rsidR="003473D3" w:rsidRPr="006552E9">
        <w:t>12</w:t>
      </w:r>
      <w:r w:rsidR="006E1B57" w:rsidRPr="006552E9">
        <w:fldChar w:fldCharType="end"/>
      </w:r>
      <w:r w:rsidRPr="006552E9">
        <w:t>: Proof of performance, advocacy, 2009/10 to 2012/13</w:t>
      </w:r>
    </w:p>
    <w:tbl>
      <w:tblPr>
        <w:tblW w:w="9298" w:type="dxa"/>
        <w:tblInd w:w="93" w:type="dxa"/>
        <w:tblCellMar>
          <w:top w:w="28" w:type="dxa"/>
          <w:left w:w="57" w:type="dxa"/>
          <w:bottom w:w="28" w:type="dxa"/>
          <w:right w:w="57" w:type="dxa"/>
        </w:tblCellMar>
        <w:tblLook w:val="04A0" w:firstRow="1" w:lastRow="0" w:firstColumn="1" w:lastColumn="0" w:noHBand="0" w:noVBand="1"/>
      </w:tblPr>
      <w:tblGrid>
        <w:gridCol w:w="1928"/>
        <w:gridCol w:w="1020"/>
        <w:gridCol w:w="1021"/>
        <w:gridCol w:w="1020"/>
        <w:gridCol w:w="1020"/>
        <w:gridCol w:w="1020"/>
        <w:gridCol w:w="850"/>
        <w:gridCol w:w="1419"/>
      </w:tblGrid>
      <w:tr w:rsidR="009D3CF3" w:rsidRPr="009D3CF3" w:rsidTr="00AD2240">
        <w:trPr>
          <w:trHeight w:val="255"/>
          <w:tblHeader/>
        </w:trPr>
        <w:tc>
          <w:tcPr>
            <w:tcW w:w="1928"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3061" w:type="dxa"/>
            <w:gridSpan w:val="3"/>
            <w:tcBorders>
              <w:top w:val="single" w:sz="4" w:space="0" w:color="auto"/>
              <w:left w:val="nil"/>
              <w:bottom w:val="single" w:sz="4" w:space="0" w:color="auto"/>
              <w:right w:val="single" w:sz="4" w:space="0" w:color="000000"/>
            </w:tcBorders>
            <w:shd w:val="clear" w:color="000000" w:fill="B8CCE4"/>
            <w:noWrap/>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xml:space="preserve">Past </w:t>
            </w:r>
            <w:r w:rsidR="00AD2240" w:rsidRPr="009D3CF3">
              <w:rPr>
                <w:rFonts w:ascii="Arial Narrow" w:hAnsi="Arial Narrow"/>
                <w:b/>
                <w:bCs/>
                <w:color w:val="000000"/>
                <w:sz w:val="18"/>
                <w:szCs w:val="18"/>
              </w:rPr>
              <w:t>performance</w:t>
            </w:r>
          </w:p>
        </w:tc>
        <w:tc>
          <w:tcPr>
            <w:tcW w:w="4309" w:type="dxa"/>
            <w:gridSpan w:val="4"/>
            <w:tcBorders>
              <w:top w:val="single" w:sz="4" w:space="0" w:color="auto"/>
              <w:left w:val="nil"/>
              <w:bottom w:val="single" w:sz="4" w:space="0" w:color="auto"/>
              <w:right w:val="single" w:sz="4" w:space="0" w:color="000000"/>
            </w:tcBorders>
            <w:shd w:val="clear" w:color="000000" w:fill="B8CCE4"/>
            <w:noWrap/>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xml:space="preserve">Current </w:t>
            </w:r>
            <w:r w:rsidR="00AD2240" w:rsidRPr="009D3CF3">
              <w:rPr>
                <w:rFonts w:ascii="Arial Narrow" w:hAnsi="Arial Narrow"/>
                <w:b/>
                <w:bCs/>
                <w:color w:val="000000"/>
                <w:sz w:val="18"/>
                <w:szCs w:val="18"/>
              </w:rPr>
              <w:t>performance</w:t>
            </w:r>
          </w:p>
        </w:tc>
      </w:tr>
      <w:tr w:rsidR="009D3CF3" w:rsidRPr="009D3CF3" w:rsidTr="00AD2240">
        <w:trPr>
          <w:trHeight w:val="255"/>
          <w:tblHeader/>
        </w:trPr>
        <w:tc>
          <w:tcPr>
            <w:tcW w:w="1928" w:type="dxa"/>
            <w:vMerge/>
            <w:tcBorders>
              <w:top w:val="single" w:sz="4" w:space="0" w:color="auto"/>
              <w:left w:val="single" w:sz="4" w:space="0" w:color="auto"/>
              <w:bottom w:val="single" w:sz="4" w:space="0" w:color="auto"/>
              <w:right w:val="single" w:sz="4" w:space="0" w:color="auto"/>
            </w:tcBorders>
            <w:vAlign w:val="center"/>
            <w:hideMark/>
          </w:tcPr>
          <w:p w:rsidR="009D3CF3" w:rsidRPr="009D3CF3" w:rsidRDefault="009D3CF3" w:rsidP="009D3CF3">
            <w:pPr>
              <w:spacing w:before="0"/>
              <w:jc w:val="left"/>
              <w:rPr>
                <w:rFonts w:ascii="Arial Narrow" w:hAnsi="Arial Narrow"/>
                <w:b/>
                <w:bCs/>
                <w:color w:val="000000"/>
                <w:sz w:val="18"/>
                <w:szCs w:val="18"/>
              </w:rPr>
            </w:pPr>
          </w:p>
        </w:tc>
        <w:tc>
          <w:tcPr>
            <w:tcW w:w="1020" w:type="dxa"/>
            <w:tcBorders>
              <w:top w:val="nil"/>
              <w:left w:val="nil"/>
              <w:bottom w:val="single" w:sz="4" w:space="0" w:color="auto"/>
              <w:right w:val="single" w:sz="4" w:space="0" w:color="auto"/>
            </w:tcBorders>
            <w:shd w:val="clear" w:color="000000" w:fill="B8CCE4"/>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2009/10 Actual</w:t>
            </w:r>
          </w:p>
        </w:tc>
        <w:tc>
          <w:tcPr>
            <w:tcW w:w="1021" w:type="dxa"/>
            <w:tcBorders>
              <w:top w:val="nil"/>
              <w:left w:val="nil"/>
              <w:bottom w:val="single" w:sz="4" w:space="0" w:color="auto"/>
              <w:right w:val="single" w:sz="4" w:space="0" w:color="auto"/>
            </w:tcBorders>
            <w:shd w:val="clear" w:color="000000" w:fill="B8CCE4"/>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2010/11 Actual</w:t>
            </w:r>
          </w:p>
        </w:tc>
        <w:tc>
          <w:tcPr>
            <w:tcW w:w="1020" w:type="dxa"/>
            <w:tcBorders>
              <w:top w:val="nil"/>
              <w:left w:val="nil"/>
              <w:bottom w:val="single" w:sz="4" w:space="0" w:color="auto"/>
              <w:right w:val="single" w:sz="4" w:space="0" w:color="auto"/>
            </w:tcBorders>
            <w:shd w:val="clear" w:color="000000" w:fill="B8CCE4"/>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xml:space="preserve">2011/12 Actual </w:t>
            </w:r>
          </w:p>
        </w:tc>
        <w:tc>
          <w:tcPr>
            <w:tcW w:w="1020" w:type="dxa"/>
            <w:tcBorders>
              <w:top w:val="nil"/>
              <w:left w:val="nil"/>
              <w:bottom w:val="single" w:sz="4" w:space="0" w:color="auto"/>
              <w:right w:val="single" w:sz="4" w:space="0" w:color="auto"/>
            </w:tcBorders>
            <w:shd w:val="clear" w:color="000000" w:fill="B8CCE4"/>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2012/13 Forecast</w:t>
            </w:r>
          </w:p>
        </w:tc>
        <w:tc>
          <w:tcPr>
            <w:tcW w:w="1020" w:type="dxa"/>
            <w:tcBorders>
              <w:top w:val="nil"/>
              <w:left w:val="nil"/>
              <w:bottom w:val="single" w:sz="4" w:space="0" w:color="auto"/>
              <w:right w:val="nil"/>
            </w:tcBorders>
            <w:shd w:val="clear" w:color="000000" w:fill="B8CCE4"/>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xml:space="preserve">2012/13 Actual </w:t>
            </w:r>
            <w:r w:rsidR="00AD2240" w:rsidRPr="009D3CF3">
              <w:rPr>
                <w:rFonts w:ascii="Arial Narrow" w:hAnsi="Arial Narrow"/>
                <w:b/>
                <w:bCs/>
                <w:color w:val="000000"/>
                <w:sz w:val="18"/>
                <w:szCs w:val="18"/>
              </w:rPr>
              <w:t>year to date</w:t>
            </w:r>
          </w:p>
        </w:tc>
        <w:tc>
          <w:tcPr>
            <w:tcW w:w="850" w:type="dxa"/>
            <w:tcBorders>
              <w:top w:val="nil"/>
              <w:left w:val="single" w:sz="4" w:space="0" w:color="auto"/>
              <w:bottom w:val="nil"/>
              <w:right w:val="single" w:sz="4" w:space="0" w:color="auto"/>
            </w:tcBorders>
            <w:shd w:val="clear" w:color="000000" w:fill="B8CCE4"/>
            <w:vAlign w:val="center"/>
            <w:hideMark/>
          </w:tcPr>
          <w:p w:rsidR="009D3CF3" w:rsidRPr="009D3CF3" w:rsidRDefault="009D3CF3" w:rsidP="00AD2240">
            <w:pPr>
              <w:spacing w:before="0"/>
              <w:jc w:val="center"/>
              <w:rPr>
                <w:rFonts w:ascii="Arial Narrow" w:hAnsi="Arial Narrow"/>
                <w:b/>
                <w:bCs/>
                <w:color w:val="000000"/>
                <w:sz w:val="18"/>
                <w:szCs w:val="18"/>
              </w:rPr>
            </w:pPr>
            <w:r w:rsidRPr="009D3CF3">
              <w:rPr>
                <w:rFonts w:ascii="Arial Narrow" w:hAnsi="Arial Narrow"/>
                <w:b/>
                <w:bCs/>
                <w:color w:val="000000"/>
                <w:sz w:val="18"/>
                <w:szCs w:val="18"/>
              </w:rPr>
              <w:t xml:space="preserve">Variance to </w:t>
            </w:r>
            <w:r w:rsidR="00AD2240" w:rsidRPr="009D3CF3">
              <w:rPr>
                <w:rFonts w:ascii="Arial Narrow" w:hAnsi="Arial Narrow"/>
                <w:b/>
                <w:bCs/>
                <w:color w:val="000000"/>
                <w:sz w:val="18"/>
                <w:szCs w:val="18"/>
              </w:rPr>
              <w:t xml:space="preserve">forecast </w:t>
            </w:r>
            <w:r w:rsidRPr="009D3CF3">
              <w:rPr>
                <w:rFonts w:ascii="Arial Narrow" w:hAnsi="Arial Narrow"/>
                <w:b/>
                <w:bCs/>
                <w:color w:val="000000"/>
                <w:sz w:val="18"/>
                <w:szCs w:val="18"/>
              </w:rPr>
              <w:br/>
              <w:t>(+/</w:t>
            </w:r>
            <w:r w:rsidR="00AD2240">
              <w:rPr>
                <w:rFonts w:ascii="Arial Narrow" w:hAnsi="Arial Narrow"/>
                <w:b/>
                <w:bCs/>
                <w:color w:val="000000"/>
                <w:sz w:val="18"/>
                <w:szCs w:val="18"/>
              </w:rPr>
              <w:t>–</w:t>
            </w:r>
            <w:r w:rsidRPr="009D3CF3">
              <w:rPr>
                <w:rFonts w:ascii="Arial Narrow" w:hAnsi="Arial Narrow"/>
                <w:b/>
                <w:bCs/>
                <w:color w:val="000000"/>
                <w:sz w:val="18"/>
                <w:szCs w:val="18"/>
              </w:rPr>
              <w:t>%)</w:t>
            </w:r>
          </w:p>
        </w:tc>
        <w:tc>
          <w:tcPr>
            <w:tcW w:w="1419" w:type="dxa"/>
            <w:tcBorders>
              <w:top w:val="nil"/>
              <w:left w:val="nil"/>
              <w:bottom w:val="single" w:sz="4" w:space="0" w:color="auto"/>
              <w:right w:val="single" w:sz="4" w:space="0" w:color="auto"/>
            </w:tcBorders>
            <w:shd w:val="clear" w:color="000000" w:fill="B8CCE4"/>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Notes</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Expenditure</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c>
          <w:tcPr>
            <w:tcW w:w="1419" w:type="dxa"/>
            <w:tcBorders>
              <w:top w:val="nil"/>
              <w:left w:val="nil"/>
              <w:bottom w:val="single" w:sz="4" w:space="0" w:color="auto"/>
              <w:right w:val="single" w:sz="4" w:space="0" w:color="auto"/>
            </w:tcBorders>
            <w:shd w:val="clear" w:color="000000" w:fill="DCE6F1"/>
            <w:vAlign w:val="center"/>
            <w:hideMark/>
          </w:tcPr>
          <w:p w:rsidR="009D3CF3" w:rsidRPr="009D3CF3" w:rsidRDefault="009D3CF3" w:rsidP="009D3CF3">
            <w:pPr>
              <w:spacing w:before="0"/>
              <w:jc w:val="center"/>
              <w:rPr>
                <w:rFonts w:ascii="Arial Narrow" w:hAnsi="Arial Narrow"/>
                <w:b/>
                <w:bCs/>
                <w:color w:val="000000"/>
                <w:sz w:val="18"/>
                <w:szCs w:val="18"/>
              </w:rPr>
            </w:pPr>
            <w:r w:rsidRPr="009D3CF3">
              <w:rPr>
                <w:rFonts w:ascii="Arial Narrow" w:hAnsi="Arial Narrow"/>
                <w:b/>
                <w:bCs/>
                <w:color w:val="000000"/>
                <w:sz w:val="18"/>
                <w:szCs w:val="18"/>
              </w:rPr>
              <w:t> </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color w:val="000000"/>
                <w:sz w:val="18"/>
                <w:szCs w:val="18"/>
              </w:rPr>
            </w:pPr>
            <w:r w:rsidRPr="009D3CF3">
              <w:rPr>
                <w:rFonts w:ascii="Arial Narrow" w:hAnsi="Arial Narrow"/>
                <w:color w:val="000000"/>
                <w:sz w:val="18"/>
                <w:szCs w:val="18"/>
              </w:rPr>
              <w:t>Total expenditure</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9D3CF3">
              <w:rPr>
                <w:rFonts w:ascii="Arial Narrow" w:hAnsi="Arial Narrow"/>
                <w:color w:val="000000"/>
                <w:sz w:val="18"/>
                <w:szCs w:val="18"/>
              </w:rPr>
              <w:t xml:space="preserve">54,737 </w:t>
            </w:r>
          </w:p>
        </w:tc>
        <w:tc>
          <w:tcPr>
            <w:tcW w:w="1021"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9D3CF3">
              <w:rPr>
                <w:rFonts w:ascii="Arial Narrow" w:hAnsi="Arial Narrow"/>
                <w:color w:val="000000"/>
                <w:sz w:val="18"/>
                <w:szCs w:val="18"/>
              </w:rPr>
              <w:t xml:space="preserve">194,854 </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9D3CF3">
              <w:rPr>
                <w:rFonts w:ascii="Arial Narrow" w:hAnsi="Arial Narrow"/>
                <w:color w:val="000000"/>
                <w:sz w:val="18"/>
                <w:szCs w:val="18"/>
              </w:rPr>
              <w:t xml:space="preserve">363,278 </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9D3CF3">
              <w:rPr>
                <w:rFonts w:ascii="Arial Narrow" w:hAnsi="Arial Narrow"/>
                <w:color w:val="000000"/>
                <w:sz w:val="18"/>
                <w:szCs w:val="18"/>
              </w:rPr>
              <w:t xml:space="preserve">172,500 </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xml:space="preserve"> $</w:t>
            </w:r>
            <w:r w:rsidR="005173DA">
              <w:rPr>
                <w:rFonts w:ascii="Arial Narrow" w:hAnsi="Arial Narrow"/>
                <w:color w:val="000000"/>
                <w:sz w:val="18"/>
                <w:szCs w:val="18"/>
              </w:rPr>
              <w:t xml:space="preserve"> </w:t>
            </w:r>
            <w:r w:rsidRPr="009D3CF3">
              <w:rPr>
                <w:rFonts w:ascii="Arial Narrow" w:hAnsi="Arial Narrow"/>
                <w:color w:val="000000"/>
                <w:sz w:val="18"/>
                <w:szCs w:val="18"/>
              </w:rPr>
              <w:t xml:space="preserve">132,631 </w:t>
            </w:r>
          </w:p>
        </w:tc>
        <w:tc>
          <w:tcPr>
            <w:tcW w:w="85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(23%)</w:t>
            </w:r>
          </w:p>
        </w:tc>
        <w:tc>
          <w:tcPr>
            <w:tcW w:w="1419"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Did not meet forecast. Budget for Strategic Plan and Advocacy toolkit rolled forward</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9D3CF3" w:rsidRPr="009D3CF3" w:rsidRDefault="009D3CF3" w:rsidP="005173DA">
            <w:pPr>
              <w:keepNext/>
              <w:spacing w:before="0"/>
              <w:jc w:val="left"/>
              <w:rPr>
                <w:rFonts w:ascii="Arial Narrow" w:hAnsi="Arial Narrow"/>
                <w:b/>
                <w:bCs/>
                <w:color w:val="000000"/>
                <w:sz w:val="18"/>
                <w:szCs w:val="18"/>
              </w:rPr>
            </w:pPr>
            <w:r w:rsidRPr="009D3CF3">
              <w:rPr>
                <w:rFonts w:ascii="Arial Narrow" w:hAnsi="Arial Narrow"/>
                <w:b/>
                <w:bCs/>
                <w:color w:val="000000"/>
                <w:sz w:val="18"/>
                <w:szCs w:val="18"/>
              </w:rPr>
              <w:t>Quantity</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850" w:type="dxa"/>
            <w:tcBorders>
              <w:top w:val="single" w:sz="4" w:space="0" w:color="auto"/>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419" w:type="dxa"/>
            <w:tcBorders>
              <w:top w:val="nil"/>
              <w:left w:val="nil"/>
              <w:bottom w:val="single" w:sz="4" w:space="0" w:color="auto"/>
              <w:right w:val="single" w:sz="4" w:space="0" w:color="auto"/>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xml:space="preserve">Research </w:t>
            </w:r>
          </w:p>
        </w:tc>
        <w:tc>
          <w:tcPr>
            <w:tcW w:w="1020"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1"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850" w:type="dxa"/>
            <w:tcBorders>
              <w:top w:val="nil"/>
              <w:left w:val="nil"/>
              <w:bottom w:val="single" w:sz="4" w:space="0" w:color="auto"/>
              <w:right w:val="nil"/>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419"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r>
      <w:tr w:rsidR="009D3CF3" w:rsidRPr="009D3CF3" w:rsidTr="00AD2240">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9D3CF3" w:rsidRPr="009D3CF3" w:rsidRDefault="009D3CF3" w:rsidP="009D3CF3">
            <w:pPr>
              <w:spacing w:before="0"/>
              <w:jc w:val="left"/>
              <w:rPr>
                <w:rFonts w:ascii="Arial Narrow" w:hAnsi="Arial Narrow"/>
                <w:color w:val="000000"/>
                <w:sz w:val="18"/>
                <w:szCs w:val="18"/>
              </w:rPr>
            </w:pPr>
            <w:r w:rsidRPr="009D3CF3">
              <w:rPr>
                <w:rFonts w:ascii="Arial Narrow" w:hAnsi="Arial Narrow"/>
                <w:color w:val="000000"/>
                <w:sz w:val="18"/>
                <w:szCs w:val="18"/>
              </w:rPr>
              <w:t>Total number of research projects and other resources delivered to the sector</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2</w:t>
            </w:r>
          </w:p>
        </w:tc>
        <w:tc>
          <w:tcPr>
            <w:tcW w:w="1021"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2</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6</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0%</w:t>
            </w:r>
          </w:p>
        </w:tc>
        <w:tc>
          <w:tcPr>
            <w:tcW w:w="1419"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Forecast met</w:t>
            </w:r>
          </w:p>
        </w:tc>
      </w:tr>
      <w:tr w:rsidR="009D3CF3" w:rsidRPr="009D3CF3" w:rsidTr="00AD2240">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9D3CF3" w:rsidRPr="009D3CF3" w:rsidRDefault="009D3CF3" w:rsidP="009D3CF3">
            <w:pPr>
              <w:spacing w:before="0"/>
              <w:jc w:val="left"/>
              <w:rPr>
                <w:rFonts w:ascii="Arial Narrow" w:hAnsi="Arial Narrow"/>
                <w:color w:val="000000"/>
                <w:sz w:val="18"/>
                <w:szCs w:val="18"/>
              </w:rPr>
            </w:pPr>
            <w:r w:rsidRPr="009D3CF3">
              <w:rPr>
                <w:rFonts w:ascii="Arial Narrow" w:hAnsi="Arial Narrow"/>
                <w:color w:val="000000"/>
                <w:sz w:val="18"/>
                <w:szCs w:val="18"/>
              </w:rPr>
              <w:t>Number of submissions made to government or local government on arts matters</w:t>
            </w:r>
          </w:p>
        </w:tc>
        <w:tc>
          <w:tcPr>
            <w:tcW w:w="2041" w:type="dxa"/>
            <w:gridSpan w:val="2"/>
            <w:tcBorders>
              <w:top w:val="single" w:sz="4" w:space="0" w:color="auto"/>
              <w:left w:val="nil"/>
              <w:bottom w:val="single" w:sz="4" w:space="0" w:color="auto"/>
              <w:right w:val="single" w:sz="4" w:space="0" w:color="000000"/>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New measure</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14</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3</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7</w:t>
            </w:r>
          </w:p>
        </w:tc>
        <w:tc>
          <w:tcPr>
            <w:tcW w:w="85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133%</w:t>
            </w:r>
          </w:p>
        </w:tc>
        <w:tc>
          <w:tcPr>
            <w:tcW w:w="1419"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Exceeded forecast</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xml:space="preserve">Strategic partnerships </w:t>
            </w:r>
          </w:p>
        </w:tc>
        <w:tc>
          <w:tcPr>
            <w:tcW w:w="1020"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1"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020"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850" w:type="dxa"/>
            <w:tcBorders>
              <w:top w:val="nil"/>
              <w:left w:val="nil"/>
              <w:bottom w:val="single" w:sz="4" w:space="0" w:color="auto"/>
              <w:right w:val="nil"/>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c>
          <w:tcPr>
            <w:tcW w:w="1419"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left"/>
              <w:rPr>
                <w:rFonts w:ascii="Arial Narrow" w:hAnsi="Arial Narrow"/>
                <w:i/>
                <w:iCs/>
                <w:color w:val="000000"/>
                <w:sz w:val="18"/>
                <w:szCs w:val="18"/>
              </w:rPr>
            </w:pPr>
            <w:r w:rsidRPr="009D3CF3">
              <w:rPr>
                <w:rFonts w:ascii="Arial Narrow" w:hAnsi="Arial Narrow"/>
                <w:i/>
                <w:iCs/>
                <w:color w:val="000000"/>
                <w:sz w:val="18"/>
                <w:szCs w:val="18"/>
              </w:rPr>
              <w:t> </w:t>
            </w:r>
          </w:p>
        </w:tc>
      </w:tr>
      <w:tr w:rsidR="009D3CF3" w:rsidRPr="009D3CF3" w:rsidTr="00AD2240">
        <w:trPr>
          <w:trHeight w:val="25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9D3CF3" w:rsidRPr="009D3CF3" w:rsidRDefault="009D3CF3" w:rsidP="009D3CF3">
            <w:pPr>
              <w:spacing w:before="0"/>
              <w:jc w:val="left"/>
              <w:rPr>
                <w:rFonts w:ascii="Arial Narrow" w:hAnsi="Arial Narrow"/>
                <w:color w:val="000000"/>
                <w:sz w:val="18"/>
                <w:szCs w:val="18"/>
              </w:rPr>
            </w:pPr>
            <w:r w:rsidRPr="009D3CF3">
              <w:rPr>
                <w:rFonts w:ascii="Arial Narrow" w:hAnsi="Arial Narrow"/>
                <w:color w:val="000000"/>
                <w:sz w:val="18"/>
                <w:szCs w:val="18"/>
              </w:rPr>
              <w:t>Total number of meetings per key partner</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2</w:t>
            </w:r>
          </w:p>
        </w:tc>
        <w:tc>
          <w:tcPr>
            <w:tcW w:w="1021"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2</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1020"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850"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0%</w:t>
            </w:r>
          </w:p>
        </w:tc>
        <w:tc>
          <w:tcPr>
            <w:tcW w:w="1419"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Forecast met</w:t>
            </w:r>
          </w:p>
        </w:tc>
      </w:tr>
      <w:tr w:rsidR="009D3CF3" w:rsidRPr="009D3CF3" w:rsidTr="00AD2240">
        <w:trPr>
          <w:trHeight w:val="255"/>
        </w:trPr>
        <w:tc>
          <w:tcPr>
            <w:tcW w:w="1928" w:type="dxa"/>
            <w:tcBorders>
              <w:top w:val="nil"/>
              <w:left w:val="single" w:sz="4" w:space="0" w:color="auto"/>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xml:space="preserve">Quality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1"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02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850" w:type="dxa"/>
            <w:tcBorders>
              <w:top w:val="nil"/>
              <w:left w:val="nil"/>
              <w:bottom w:val="single" w:sz="4" w:space="0" w:color="auto"/>
              <w:right w:val="nil"/>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c>
          <w:tcPr>
            <w:tcW w:w="1419" w:type="dxa"/>
            <w:tcBorders>
              <w:top w:val="nil"/>
              <w:left w:val="nil"/>
              <w:bottom w:val="single" w:sz="4" w:space="0" w:color="auto"/>
              <w:right w:val="single" w:sz="4" w:space="0" w:color="auto"/>
            </w:tcBorders>
            <w:shd w:val="clear" w:color="000000" w:fill="DCE6F1"/>
            <w:vAlign w:val="center"/>
            <w:hideMark/>
          </w:tcPr>
          <w:p w:rsidR="009D3CF3" w:rsidRPr="009D3CF3" w:rsidRDefault="009D3CF3" w:rsidP="009D3CF3">
            <w:pPr>
              <w:spacing w:before="0"/>
              <w:jc w:val="left"/>
              <w:rPr>
                <w:rFonts w:ascii="Arial Narrow" w:hAnsi="Arial Narrow"/>
                <w:b/>
                <w:bCs/>
                <w:color w:val="000000"/>
                <w:sz w:val="18"/>
                <w:szCs w:val="18"/>
              </w:rPr>
            </w:pPr>
            <w:r w:rsidRPr="009D3CF3">
              <w:rPr>
                <w:rFonts w:ascii="Arial Narrow" w:hAnsi="Arial Narrow"/>
                <w:b/>
                <w:bCs/>
                <w:color w:val="000000"/>
                <w:sz w:val="18"/>
                <w:szCs w:val="18"/>
              </w:rPr>
              <w:t> </w:t>
            </w:r>
          </w:p>
        </w:tc>
      </w:tr>
      <w:tr w:rsidR="009D3CF3" w:rsidRPr="009D3CF3" w:rsidTr="00AD2240">
        <w:tc>
          <w:tcPr>
            <w:tcW w:w="1928" w:type="dxa"/>
            <w:tcBorders>
              <w:top w:val="nil"/>
              <w:left w:val="single" w:sz="4" w:space="0" w:color="auto"/>
              <w:bottom w:val="single" w:sz="4" w:space="0" w:color="auto"/>
              <w:right w:val="single" w:sz="4" w:space="0" w:color="auto"/>
            </w:tcBorders>
            <w:shd w:val="clear" w:color="auto" w:fill="auto"/>
            <w:vAlign w:val="center"/>
            <w:hideMark/>
          </w:tcPr>
          <w:p w:rsidR="009D3CF3" w:rsidRPr="009D3CF3" w:rsidRDefault="009D3CF3" w:rsidP="009D3CF3">
            <w:pPr>
              <w:spacing w:before="0"/>
              <w:jc w:val="left"/>
              <w:rPr>
                <w:rFonts w:ascii="Arial Narrow" w:hAnsi="Arial Narrow"/>
                <w:color w:val="000000"/>
                <w:sz w:val="18"/>
                <w:szCs w:val="18"/>
              </w:rPr>
            </w:pPr>
            <w:r w:rsidRPr="009D3CF3">
              <w:rPr>
                <w:rFonts w:ascii="Arial Narrow" w:hAnsi="Arial Narrow"/>
                <w:color w:val="000000"/>
                <w:sz w:val="18"/>
                <w:szCs w:val="18"/>
              </w:rPr>
              <w:t>The arts sector is using available resources as indicated by the website usage</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New</w:t>
            </w:r>
            <w:r w:rsidRPr="009D3CF3">
              <w:rPr>
                <w:rFonts w:ascii="Arial Narrow" w:hAnsi="Arial Narrow"/>
                <w:color w:val="000000"/>
                <w:sz w:val="18"/>
                <w:szCs w:val="18"/>
              </w:rPr>
              <w:br/>
              <w:t>measure</w:t>
            </w:r>
          </w:p>
        </w:tc>
        <w:tc>
          <w:tcPr>
            <w:tcW w:w="1021"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446,344</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419,549</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 450,000 unique page views</w:t>
            </w:r>
          </w:p>
        </w:tc>
        <w:tc>
          <w:tcPr>
            <w:tcW w:w="102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436,540</w:t>
            </w:r>
          </w:p>
        </w:tc>
        <w:tc>
          <w:tcPr>
            <w:tcW w:w="850" w:type="dxa"/>
            <w:tcBorders>
              <w:top w:val="nil"/>
              <w:left w:val="nil"/>
              <w:bottom w:val="single" w:sz="4" w:space="0" w:color="auto"/>
              <w:right w:val="single" w:sz="4" w:space="0" w:color="auto"/>
            </w:tcBorders>
            <w:shd w:val="clear" w:color="auto" w:fill="auto"/>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(3%)</w:t>
            </w:r>
          </w:p>
        </w:tc>
        <w:tc>
          <w:tcPr>
            <w:tcW w:w="1419" w:type="dxa"/>
            <w:tcBorders>
              <w:top w:val="nil"/>
              <w:left w:val="nil"/>
              <w:bottom w:val="single" w:sz="4" w:space="0" w:color="auto"/>
              <w:right w:val="single" w:sz="4" w:space="0" w:color="auto"/>
            </w:tcBorders>
            <w:shd w:val="clear" w:color="000000" w:fill="FFFFFF"/>
            <w:vAlign w:val="center"/>
            <w:hideMark/>
          </w:tcPr>
          <w:p w:rsidR="009D3CF3" w:rsidRPr="009D3CF3" w:rsidRDefault="009D3CF3" w:rsidP="009D3CF3">
            <w:pPr>
              <w:spacing w:before="0"/>
              <w:jc w:val="center"/>
              <w:rPr>
                <w:rFonts w:ascii="Arial Narrow" w:hAnsi="Arial Narrow"/>
                <w:color w:val="000000"/>
                <w:sz w:val="18"/>
                <w:szCs w:val="18"/>
              </w:rPr>
            </w:pPr>
            <w:r w:rsidRPr="009D3CF3">
              <w:rPr>
                <w:rFonts w:ascii="Arial Narrow" w:hAnsi="Arial Narrow"/>
                <w:color w:val="000000"/>
                <w:sz w:val="18"/>
                <w:szCs w:val="18"/>
              </w:rPr>
              <w:t>Forecast met</w:t>
            </w:r>
          </w:p>
        </w:tc>
      </w:tr>
    </w:tbl>
    <w:p w:rsidR="003027E3" w:rsidRPr="006552E9" w:rsidRDefault="003027E3" w:rsidP="003027E3">
      <w:pPr>
        <w:pStyle w:val="Tabletext"/>
        <w:rPr>
          <w:rFonts w:eastAsia="Calibri"/>
        </w:rPr>
      </w:pPr>
    </w:p>
    <w:p w:rsidR="003027E3" w:rsidRPr="006552E9" w:rsidRDefault="003027E3" w:rsidP="003027E3"/>
    <w:p w:rsidR="003A45DC" w:rsidRPr="006552E9" w:rsidRDefault="003A45DC" w:rsidP="004E77B9"/>
    <w:p w:rsidR="003A45DC" w:rsidRPr="006552E9" w:rsidRDefault="003A45DC" w:rsidP="004E77B9">
      <w:pPr>
        <w:sectPr w:rsidR="003A45DC" w:rsidRPr="006552E9" w:rsidSect="00883735">
          <w:footerReference w:type="even" r:id="rId46"/>
          <w:pgSz w:w="11907" w:h="16840" w:code="9"/>
          <w:pgMar w:top="1440" w:right="1440" w:bottom="1440" w:left="1440" w:header="709" w:footer="709" w:gutter="0"/>
          <w:cols w:space="708"/>
          <w:docGrid w:linePitch="360"/>
        </w:sectPr>
      </w:pPr>
    </w:p>
    <w:p w:rsidR="003A45DC" w:rsidRPr="006552E9" w:rsidRDefault="003A45DC" w:rsidP="003473D3">
      <w:pPr>
        <w:pStyle w:val="Title"/>
        <w:jc w:val="left"/>
        <w:rPr>
          <w:color w:val="17365D"/>
          <w:szCs w:val="32"/>
        </w:rPr>
      </w:pPr>
      <w:bookmarkStart w:id="76" w:name="_Toc373415046"/>
      <w:r w:rsidRPr="006552E9">
        <w:t>PART THREE: FINANCIAL P</w:t>
      </w:r>
      <w:r w:rsidR="003473D3" w:rsidRPr="006552E9">
        <w:t>ERFORMANCE |</w:t>
      </w:r>
      <w:r w:rsidR="003473D3" w:rsidRPr="006552E9">
        <w:br/>
      </w:r>
      <w:r w:rsidR="00322DFA" w:rsidRPr="006552E9">
        <w:t>NGĀ WHAKARITENGA PŪTEA</w:t>
      </w:r>
      <w:bookmarkEnd w:id="76"/>
      <w:r w:rsidR="00322DFA" w:rsidRPr="006552E9">
        <w:t xml:space="preserve"> </w:t>
      </w:r>
      <w:r w:rsidRPr="006552E9">
        <w:br w:type="page"/>
      </w:r>
    </w:p>
    <w:p w:rsidR="0012359C" w:rsidRDefault="00B8228C" w:rsidP="00533125">
      <w:pPr>
        <w:pStyle w:val="Heading1"/>
        <w:jc w:val="left"/>
      </w:pPr>
      <w:bookmarkStart w:id="77" w:name="_Toc373415047"/>
      <w:r w:rsidRPr="006552E9">
        <w:t xml:space="preserve">Independent </w:t>
      </w:r>
      <w:r w:rsidR="006E1FE0" w:rsidRPr="006552E9">
        <w:t>Audit</w:t>
      </w:r>
      <w:r w:rsidRPr="006552E9">
        <w:t>or’s</w:t>
      </w:r>
      <w:r w:rsidR="006E1FE0" w:rsidRPr="006552E9">
        <w:t xml:space="preserve"> </w:t>
      </w:r>
      <w:r w:rsidR="00E96559" w:rsidRPr="006552E9" w:rsidDel="004866E6">
        <w:t>R</w:t>
      </w:r>
      <w:r w:rsidR="00E96559" w:rsidRPr="006552E9">
        <w:t>eport</w:t>
      </w:r>
      <w:r w:rsidR="00533125" w:rsidRPr="006552E9">
        <w:t xml:space="preserve"> |</w:t>
      </w:r>
      <w:r w:rsidR="00533125" w:rsidRPr="006552E9">
        <w:br/>
      </w:r>
      <w:r w:rsidR="003473D3" w:rsidRPr="006552E9">
        <w:t>Ripoata nō te kaitātari pūtea umanga ake</w:t>
      </w:r>
      <w:bookmarkEnd w:id="77"/>
    </w:p>
    <w:p w:rsidR="008F45DE" w:rsidRPr="008F45DE" w:rsidRDefault="008F45DE" w:rsidP="008F45DE"/>
    <w:p w:rsidR="00533125" w:rsidRPr="006552E9" w:rsidRDefault="00832980" w:rsidP="00832980">
      <w:pPr>
        <w:jc w:val="right"/>
      </w:pPr>
      <w:r>
        <w:rPr>
          <w:noProof/>
        </w:rPr>
        <w:drawing>
          <wp:inline distT="0" distB="0" distL="0" distR="0" wp14:anchorId="1BF8EE1D" wp14:editId="37D3909F">
            <wp:extent cx="1819274"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3085" cy="324528"/>
                    </a:xfrm>
                    <a:prstGeom prst="rect">
                      <a:avLst/>
                    </a:prstGeom>
                    <a:noFill/>
                  </pic:spPr>
                </pic:pic>
              </a:graphicData>
            </a:graphic>
          </wp:inline>
        </w:drawing>
      </w:r>
    </w:p>
    <w:p w:rsidR="00542321" w:rsidRPr="006552E9" w:rsidRDefault="00542321" w:rsidP="00B8228C">
      <w:pPr>
        <w:spacing w:before="0"/>
        <w:jc w:val="center"/>
        <w:rPr>
          <w:b/>
        </w:rPr>
      </w:pPr>
    </w:p>
    <w:p w:rsidR="008F45DE" w:rsidRDefault="008F45DE" w:rsidP="00B8228C">
      <w:pPr>
        <w:spacing w:before="0"/>
        <w:jc w:val="center"/>
        <w:rPr>
          <w:b/>
        </w:rPr>
      </w:pPr>
    </w:p>
    <w:p w:rsidR="00B8228C" w:rsidRPr="006552E9" w:rsidRDefault="00B8228C" w:rsidP="00B8228C">
      <w:pPr>
        <w:spacing w:before="0"/>
        <w:jc w:val="center"/>
        <w:rPr>
          <w:b/>
        </w:rPr>
      </w:pPr>
      <w:r w:rsidRPr="006552E9">
        <w:rPr>
          <w:b/>
        </w:rPr>
        <w:t>To the readers of the</w:t>
      </w:r>
      <w:r w:rsidR="00E7760D" w:rsidRPr="006552E9">
        <w:rPr>
          <w:b/>
        </w:rPr>
        <w:t xml:space="preserve"> </w:t>
      </w:r>
      <w:r w:rsidRPr="006552E9">
        <w:rPr>
          <w:b/>
        </w:rPr>
        <w:t>Arts Council of New Zealand Toi Aotearoa’s</w:t>
      </w:r>
      <w:r w:rsidR="00542321" w:rsidRPr="006552E9">
        <w:rPr>
          <w:b/>
        </w:rPr>
        <w:t xml:space="preserve"> </w:t>
      </w:r>
      <w:r w:rsidRPr="006552E9">
        <w:rPr>
          <w:b/>
        </w:rPr>
        <w:t>financial statements and statement of service performance</w:t>
      </w:r>
      <w:r w:rsidR="00E7760D" w:rsidRPr="006552E9">
        <w:rPr>
          <w:b/>
        </w:rPr>
        <w:t xml:space="preserve"> </w:t>
      </w:r>
      <w:r w:rsidRPr="006552E9">
        <w:rPr>
          <w:b/>
        </w:rPr>
        <w:t>for the year ended 30 June 201</w:t>
      </w:r>
      <w:r w:rsidR="005D0182" w:rsidRPr="006552E9">
        <w:rPr>
          <w:b/>
        </w:rPr>
        <w:t>3</w:t>
      </w:r>
    </w:p>
    <w:p w:rsidR="00832980" w:rsidRPr="00045BCB" w:rsidRDefault="00832980" w:rsidP="00832980">
      <w:pPr>
        <w:rPr>
          <w:spacing w:val="-3"/>
        </w:rPr>
      </w:pPr>
      <w:r w:rsidRPr="00045BCB">
        <w:rPr>
          <w:lang w:val="en-GB"/>
        </w:rPr>
        <w:t>The Auditor</w:t>
      </w:r>
      <w:r>
        <w:rPr>
          <w:lang w:val="en-GB"/>
        </w:rPr>
        <w:noBreakHyphen/>
      </w:r>
      <w:r w:rsidRPr="00045BCB">
        <w:rPr>
          <w:lang w:val="en-GB"/>
        </w:rPr>
        <w:t xml:space="preserve">General is the auditor of </w:t>
      </w:r>
      <w:r>
        <w:rPr>
          <w:lang w:val="en-GB"/>
        </w:rPr>
        <w:t>the Arts Council of New Zealand Toi Aotearoa (</w:t>
      </w:r>
      <w:r>
        <w:rPr>
          <w:spacing w:val="-3"/>
        </w:rPr>
        <w:t>Creative New Zealand</w:t>
      </w:r>
      <w:r>
        <w:rPr>
          <w:lang w:val="en-GB"/>
        </w:rPr>
        <w:t>)</w:t>
      </w:r>
      <w:r w:rsidRPr="00045BCB">
        <w:rPr>
          <w:lang w:val="en-GB"/>
        </w:rPr>
        <w:t>. The Auditor</w:t>
      </w:r>
      <w:r>
        <w:rPr>
          <w:lang w:val="en-GB"/>
        </w:rPr>
        <w:noBreakHyphen/>
      </w:r>
      <w:r w:rsidRPr="00045BCB">
        <w:rPr>
          <w:lang w:val="en-GB"/>
        </w:rPr>
        <w:t xml:space="preserve">General has appointed me, </w:t>
      </w:r>
      <w:r w:rsidR="008F45DE">
        <w:rPr>
          <w:lang w:val="en-GB"/>
        </w:rPr>
        <w:t xml:space="preserve">J </w:t>
      </w:r>
      <w:r>
        <w:rPr>
          <w:lang w:val="en-GB"/>
        </w:rPr>
        <w:t>R Smaill</w:t>
      </w:r>
      <w:r w:rsidRPr="00045BCB">
        <w:rPr>
          <w:lang w:val="en-GB"/>
        </w:rPr>
        <w:t xml:space="preserve">, using the staff and resources of </w:t>
      </w:r>
      <w:r>
        <w:rPr>
          <w:lang w:val="en-GB"/>
        </w:rPr>
        <w:t>Audit New Zealand</w:t>
      </w:r>
      <w:r w:rsidRPr="00045BCB">
        <w:rPr>
          <w:lang w:val="en-GB"/>
        </w:rPr>
        <w:t xml:space="preserve">, to carry out the audit of the financial statements </w:t>
      </w:r>
      <w:r w:rsidRPr="00045BCB">
        <w:t>and non</w:t>
      </w:r>
      <w:r>
        <w:noBreakHyphen/>
      </w:r>
      <w:r w:rsidRPr="00045BCB">
        <w:t xml:space="preserve">financial </w:t>
      </w:r>
      <w:r w:rsidRPr="00045BCB">
        <w:rPr>
          <w:lang w:val="en-GB"/>
        </w:rPr>
        <w:t xml:space="preserve">performance information of </w:t>
      </w:r>
      <w:r>
        <w:rPr>
          <w:spacing w:val="-3"/>
        </w:rPr>
        <w:t xml:space="preserve">Creative New Zealand </w:t>
      </w:r>
      <w:r>
        <w:rPr>
          <w:spacing w:val="-3"/>
          <w:lang w:val="en-GB"/>
        </w:rPr>
        <w:t>on her behalf.</w:t>
      </w:r>
    </w:p>
    <w:p w:rsidR="00832980" w:rsidRPr="00045BCB" w:rsidRDefault="00832980" w:rsidP="00832980">
      <w:r w:rsidRPr="00045BCB">
        <w:t>We have audited:</w:t>
      </w:r>
    </w:p>
    <w:p w:rsidR="00832980" w:rsidRPr="00045BCB" w:rsidRDefault="00832980" w:rsidP="00832980">
      <w:pPr>
        <w:pStyle w:val="Bullet"/>
      </w:pPr>
      <w:r w:rsidRPr="00045BCB">
        <w:t xml:space="preserve">the financial statements of </w:t>
      </w:r>
      <w:r>
        <w:rPr>
          <w:spacing w:val="-3"/>
        </w:rPr>
        <w:t xml:space="preserve">Creative New Zealand </w:t>
      </w:r>
      <w:r w:rsidRPr="00045BCB">
        <w:t>on pages</w:t>
      </w:r>
      <w:r>
        <w:t xml:space="preserve"> </w:t>
      </w:r>
      <w:r w:rsidR="00925F59">
        <w:t>64</w:t>
      </w:r>
      <w:r w:rsidR="008F45DE">
        <w:t xml:space="preserve"> to 10</w:t>
      </w:r>
      <w:r w:rsidR="00925F59">
        <w:t>0</w:t>
      </w:r>
      <w:r>
        <w:t xml:space="preserve">, that comprise the </w:t>
      </w:r>
      <w:r w:rsidRPr="00045BCB">
        <w:t xml:space="preserve">statement of financial position as at </w:t>
      </w:r>
      <w:r>
        <w:t>30 June 2013</w:t>
      </w:r>
      <w:r w:rsidRPr="00045BCB">
        <w:t xml:space="preserve">, the statement of </w:t>
      </w:r>
      <w:r>
        <w:t xml:space="preserve">financial performance, statement of </w:t>
      </w:r>
      <w:r w:rsidRPr="00045BCB">
        <w:t>comprehensive income, statement of changes in equity and statement of cash flows for t</w:t>
      </w:r>
      <w:r>
        <w:t xml:space="preserve">he year ended on that date and </w:t>
      </w:r>
      <w:r w:rsidRPr="00045BCB">
        <w:t xml:space="preserve">notes to the financial statements that include accounting policies and other explanatory information; </w:t>
      </w:r>
      <w:r>
        <w:t>and</w:t>
      </w:r>
    </w:p>
    <w:p w:rsidR="00832980" w:rsidRPr="00045BCB" w:rsidRDefault="00832980" w:rsidP="00832980">
      <w:pPr>
        <w:pStyle w:val="Bullet"/>
        <w:rPr>
          <w:rFonts w:cs="Arial"/>
        </w:rPr>
      </w:pPr>
      <w:r w:rsidRPr="00045BCB">
        <w:rPr>
          <w:rFonts w:cs="Arial"/>
        </w:rPr>
        <w:t>the non</w:t>
      </w:r>
      <w:r>
        <w:rPr>
          <w:rFonts w:cs="Arial"/>
        </w:rPr>
        <w:noBreakHyphen/>
      </w:r>
      <w:r w:rsidRPr="00045BCB">
        <w:rPr>
          <w:rFonts w:cs="Arial"/>
        </w:rPr>
        <w:t xml:space="preserve">financial performance information of </w:t>
      </w:r>
      <w:r>
        <w:rPr>
          <w:rFonts w:cs="Arial"/>
        </w:rPr>
        <w:t xml:space="preserve">Creative New Zealand </w:t>
      </w:r>
      <w:r w:rsidRPr="00045BCB">
        <w:t xml:space="preserve">that comprises the statement of service performance on pages </w:t>
      </w:r>
      <w:r w:rsidR="008F45DE">
        <w:t>4</w:t>
      </w:r>
      <w:r w:rsidR="00925F59">
        <w:t>5</w:t>
      </w:r>
      <w:r w:rsidR="008F45DE">
        <w:t xml:space="preserve"> to </w:t>
      </w:r>
      <w:r w:rsidR="00925F59">
        <w:t>59</w:t>
      </w:r>
      <w:r w:rsidRPr="00045BCB">
        <w:t xml:space="preserve"> and the report about outcomes on pages </w:t>
      </w:r>
      <w:r w:rsidR="008F45DE">
        <w:t>2</w:t>
      </w:r>
      <w:r w:rsidR="00925F59">
        <w:t>1</w:t>
      </w:r>
      <w:r w:rsidR="008F45DE">
        <w:t xml:space="preserve"> to </w:t>
      </w:r>
      <w:r w:rsidR="00925F59">
        <w:t>39</w:t>
      </w:r>
      <w:r w:rsidRPr="00045BCB">
        <w:t>.</w:t>
      </w:r>
    </w:p>
    <w:p w:rsidR="00832980" w:rsidRPr="00045BCB" w:rsidRDefault="00832980" w:rsidP="00832980">
      <w:pPr>
        <w:pStyle w:val="Heading4"/>
      </w:pPr>
      <w:r w:rsidRPr="00045BCB">
        <w:t>Opinion</w:t>
      </w:r>
    </w:p>
    <w:p w:rsidR="00832980" w:rsidRPr="00045BCB" w:rsidRDefault="00832980" w:rsidP="00832980">
      <w:r w:rsidRPr="00045BCB">
        <w:t>In our opinion:</w:t>
      </w:r>
    </w:p>
    <w:p w:rsidR="00832980" w:rsidRPr="00045BCB" w:rsidRDefault="00832980" w:rsidP="00832980">
      <w:pPr>
        <w:pStyle w:val="Bullet"/>
      </w:pPr>
      <w:r w:rsidRPr="00045BCB">
        <w:t xml:space="preserve">the financial statements of </w:t>
      </w:r>
      <w:r>
        <w:rPr>
          <w:spacing w:val="-3"/>
        </w:rPr>
        <w:t>Creative New Zealand</w:t>
      </w:r>
      <w:r w:rsidRPr="00045BCB">
        <w:rPr>
          <w:spacing w:val="-3"/>
        </w:rPr>
        <w:t xml:space="preserve"> </w:t>
      </w:r>
      <w:r w:rsidRPr="00045BCB">
        <w:t xml:space="preserve">on pages </w:t>
      </w:r>
      <w:r w:rsidR="00925F59">
        <w:t>64</w:t>
      </w:r>
      <w:r w:rsidR="008F45DE">
        <w:t xml:space="preserve"> to </w:t>
      </w:r>
      <w:r w:rsidR="00925F59">
        <w:t>100</w:t>
      </w:r>
      <w:r w:rsidRPr="00045BCB">
        <w:t>:</w:t>
      </w:r>
    </w:p>
    <w:p w:rsidR="00832980" w:rsidRPr="00045BCB" w:rsidRDefault="00832980" w:rsidP="00832980">
      <w:pPr>
        <w:pStyle w:val="Bullet2"/>
      </w:pPr>
      <w:r w:rsidRPr="00045BCB">
        <w:t xml:space="preserve">comply with generally accepted accounting practice in </w:t>
      </w:r>
      <w:r>
        <w:t>New Zealand</w:t>
      </w:r>
      <w:r w:rsidRPr="00045BCB">
        <w:t>; and</w:t>
      </w:r>
    </w:p>
    <w:p w:rsidR="00832980" w:rsidRPr="00045BCB" w:rsidRDefault="00832980" w:rsidP="00832980">
      <w:pPr>
        <w:pStyle w:val="Bullet2"/>
      </w:pPr>
      <w:r w:rsidRPr="00045BCB">
        <w:t xml:space="preserve">fairly reflect </w:t>
      </w:r>
      <w:r>
        <w:rPr>
          <w:spacing w:val="-3"/>
        </w:rPr>
        <w:t>Creative New Zealand</w:t>
      </w:r>
      <w:r w:rsidRPr="00045BCB">
        <w:t>’s:</w:t>
      </w:r>
    </w:p>
    <w:p w:rsidR="00832980" w:rsidRPr="00045BCB" w:rsidRDefault="00832980" w:rsidP="008F45DE">
      <w:pPr>
        <w:pStyle w:val="Bullet-Level3"/>
      </w:pPr>
      <w:r w:rsidRPr="00045BCB">
        <w:t xml:space="preserve">financial position as at </w:t>
      </w:r>
      <w:r>
        <w:t>30 June 2013</w:t>
      </w:r>
      <w:r w:rsidRPr="00045BCB">
        <w:t>; and</w:t>
      </w:r>
    </w:p>
    <w:p w:rsidR="00832980" w:rsidRPr="00045BCB" w:rsidRDefault="00832980" w:rsidP="008F45DE">
      <w:pPr>
        <w:pStyle w:val="Bullet-Level3"/>
      </w:pPr>
      <w:r w:rsidRPr="00045BCB">
        <w:t>financial performance and cash flows for the year ended on that date.</w:t>
      </w:r>
    </w:p>
    <w:p w:rsidR="00832980" w:rsidRPr="00045BCB" w:rsidRDefault="00832980" w:rsidP="00832980">
      <w:pPr>
        <w:pStyle w:val="Bullet"/>
      </w:pPr>
      <w:r w:rsidRPr="00045BCB">
        <w:t>the non</w:t>
      </w:r>
      <w:r>
        <w:noBreakHyphen/>
      </w:r>
      <w:r w:rsidRPr="00045BCB">
        <w:t xml:space="preserve">financial performance information of </w:t>
      </w:r>
      <w:r>
        <w:rPr>
          <w:spacing w:val="-3"/>
        </w:rPr>
        <w:t xml:space="preserve">Creative New Zealand </w:t>
      </w:r>
      <w:r w:rsidRPr="00045BCB">
        <w:t xml:space="preserve">on pages </w:t>
      </w:r>
      <w:r w:rsidR="00925F59">
        <w:t>21</w:t>
      </w:r>
      <w:r w:rsidR="008F45DE">
        <w:t xml:space="preserve"> to </w:t>
      </w:r>
      <w:r w:rsidR="00925F59">
        <w:t>39</w:t>
      </w:r>
      <w:r w:rsidRPr="00045BCB">
        <w:t xml:space="preserve"> and </w:t>
      </w:r>
      <w:r w:rsidR="00925F59">
        <w:t>45</w:t>
      </w:r>
      <w:r w:rsidR="008F45DE">
        <w:t xml:space="preserve"> to </w:t>
      </w:r>
      <w:r w:rsidR="00925F59">
        <w:t>59</w:t>
      </w:r>
      <w:r w:rsidRPr="00045BCB">
        <w:t>:</w:t>
      </w:r>
    </w:p>
    <w:p w:rsidR="00832980" w:rsidRPr="00045BCB" w:rsidRDefault="00832980" w:rsidP="00832980">
      <w:pPr>
        <w:pStyle w:val="Bullet2"/>
      </w:pPr>
      <w:r w:rsidRPr="00045BCB">
        <w:t xml:space="preserve">complies with generally accepted accounting practice in </w:t>
      </w:r>
      <w:r>
        <w:t>New Zealand</w:t>
      </w:r>
      <w:r w:rsidRPr="00045BCB">
        <w:t>; and</w:t>
      </w:r>
    </w:p>
    <w:p w:rsidR="00832980" w:rsidRPr="00045BCB" w:rsidRDefault="00832980" w:rsidP="00832980">
      <w:pPr>
        <w:pStyle w:val="Bullet2"/>
      </w:pPr>
      <w:r w:rsidRPr="00045BCB">
        <w:t xml:space="preserve">fairly reflects </w:t>
      </w:r>
      <w:r>
        <w:rPr>
          <w:spacing w:val="-3"/>
        </w:rPr>
        <w:t>Creative New Zealand</w:t>
      </w:r>
      <w:r w:rsidRPr="00045BCB">
        <w:t xml:space="preserve">’s service performance and outcomes for the year ended </w:t>
      </w:r>
      <w:r>
        <w:t>30 June 2013</w:t>
      </w:r>
      <w:r w:rsidRPr="00045BCB">
        <w:t>, including for each class of outputs:</w:t>
      </w:r>
    </w:p>
    <w:p w:rsidR="00832980" w:rsidRPr="00045BCB" w:rsidRDefault="00832980" w:rsidP="00832980">
      <w:pPr>
        <w:pStyle w:val="Bullet-Level3"/>
      </w:pPr>
      <w:r w:rsidRPr="00045BCB">
        <w:t>its service performance compared with forecasts in the statement of forecast service performance at the start of the financial year; and</w:t>
      </w:r>
    </w:p>
    <w:p w:rsidR="00832980" w:rsidRPr="008F45DE" w:rsidRDefault="00832980" w:rsidP="008F45DE">
      <w:pPr>
        <w:pStyle w:val="Bullet-Level3"/>
        <w:rPr>
          <w:rFonts w:cs="Arial"/>
        </w:rPr>
      </w:pPr>
      <w:r w:rsidRPr="008F45DE">
        <w:rPr>
          <w:rStyle w:val="ps341"/>
          <w:rFonts w:cs="Arial"/>
          <w:color w:val="000000"/>
          <w:szCs w:val="24"/>
        </w:rPr>
        <w:t>its actual revenue and output expenses compared with the forecasts in the statement of forecast service performance at the start of the financial year.</w:t>
      </w:r>
    </w:p>
    <w:p w:rsidR="00832980" w:rsidRPr="00045BCB" w:rsidRDefault="00832980" w:rsidP="00832980">
      <w:r w:rsidRPr="00045BCB">
        <w:t xml:space="preserve">Our audit was completed on </w:t>
      </w:r>
      <w:r w:rsidR="00FA043D">
        <w:t>31</w:t>
      </w:r>
      <w:r w:rsidRPr="00FA043D">
        <w:t xml:space="preserve"> October 2013</w:t>
      </w:r>
      <w:r w:rsidRPr="00045BCB">
        <w:t>. This is the date at which our opinion is expressed.</w:t>
      </w:r>
    </w:p>
    <w:p w:rsidR="00832980" w:rsidRPr="00045BCB" w:rsidRDefault="00832980" w:rsidP="00832980">
      <w:pPr>
        <w:rPr>
          <w:lang w:val="en-GB"/>
        </w:rPr>
      </w:pPr>
      <w:r w:rsidRPr="00045BCB">
        <w:rPr>
          <w:lang w:val="en-GB"/>
        </w:rPr>
        <w:t xml:space="preserve">The basis of our opinion is explained below. In addition, we outline the responsibilities of the </w:t>
      </w:r>
      <w:r>
        <w:rPr>
          <w:lang w:val="en-GB"/>
        </w:rPr>
        <w:t>Arts Council</w:t>
      </w:r>
      <w:r w:rsidRPr="00045BCB">
        <w:rPr>
          <w:lang w:val="en-GB"/>
        </w:rPr>
        <w:t xml:space="preserve"> and our responsibilities, and we explain our independence.</w:t>
      </w:r>
    </w:p>
    <w:p w:rsidR="00832980" w:rsidRPr="00045BCB" w:rsidRDefault="00832980" w:rsidP="00832980">
      <w:pPr>
        <w:pStyle w:val="Heading4"/>
      </w:pPr>
      <w:r w:rsidRPr="00045BCB">
        <w:t>Basis of opinion</w:t>
      </w:r>
    </w:p>
    <w:p w:rsidR="00832980" w:rsidRPr="00045BCB" w:rsidRDefault="00832980" w:rsidP="00832980">
      <w:r w:rsidRPr="00045BCB">
        <w:t>We carried out our audit in accordance with the Auditor</w:t>
      </w:r>
      <w:r>
        <w:noBreakHyphen/>
      </w:r>
      <w:r w:rsidRPr="00045BCB">
        <w:t>General’s Auditing Standards, which incorporate the International Standards on Auditing (</w:t>
      </w:r>
      <w:r>
        <w:t>New Zealand</w:t>
      </w:r>
      <w:r w:rsidRPr="00045BCB">
        <w:t>). Those standards require that we comply with ethical requirements and plan and carry out our audit to obtain reasonable assurance about whether the financial statements and non</w:t>
      </w:r>
      <w:r>
        <w:noBreakHyphen/>
      </w:r>
      <w:r w:rsidRPr="00045BCB">
        <w:t xml:space="preserve">financial </w:t>
      </w:r>
      <w:r w:rsidRPr="00045BCB">
        <w:rPr>
          <w:lang w:val="en-GB"/>
        </w:rPr>
        <w:t xml:space="preserve">performance information </w:t>
      </w:r>
      <w:r w:rsidRPr="00045BCB">
        <w:t>are f</w:t>
      </w:r>
      <w:r>
        <w:t>ree from material misstatement.</w:t>
      </w:r>
    </w:p>
    <w:p w:rsidR="00832980" w:rsidRPr="00045BCB" w:rsidRDefault="00832980" w:rsidP="00832980">
      <w:r w:rsidRPr="00045BCB">
        <w:t>Material misstatements are differences or omissions of amounts and disclosures that, in our judgement, are likely to influence readers’ overall understanding of the financial statements and non</w:t>
      </w:r>
      <w:r>
        <w:noBreakHyphen/>
      </w:r>
      <w:r w:rsidRPr="00045BCB">
        <w:t xml:space="preserve">financial </w:t>
      </w:r>
      <w:r w:rsidRPr="00045BCB">
        <w:rPr>
          <w:lang w:val="en-GB"/>
        </w:rPr>
        <w:t>performance information</w:t>
      </w:r>
      <w:r w:rsidRPr="00045BCB">
        <w:t>. If we had found material misstatements that were not corrected, we would have referred to them in our opinion.</w:t>
      </w:r>
    </w:p>
    <w:p w:rsidR="00832980" w:rsidRPr="00045BCB" w:rsidRDefault="00832980" w:rsidP="00832980">
      <w:r w:rsidRPr="00045BCB">
        <w:t>An audit involves carrying out procedures to obtain audit evidence about the amounts and disclosures in the financial statements and non</w:t>
      </w:r>
      <w:r>
        <w:noBreakHyphen/>
      </w:r>
      <w:r w:rsidRPr="00045BCB">
        <w:t xml:space="preserve">financial </w:t>
      </w:r>
      <w:r w:rsidRPr="00045BCB">
        <w:rPr>
          <w:lang w:val="en-GB"/>
        </w:rPr>
        <w:t>performance information</w:t>
      </w:r>
      <w:r w:rsidRPr="00045BCB">
        <w:t>. The procedures selected depend on our judgement, including our assessment of risks of material misstatement of the financial statements and non</w:t>
      </w:r>
      <w:r>
        <w:noBreakHyphen/>
      </w:r>
      <w:r w:rsidRPr="00045BCB">
        <w:t xml:space="preserve">financial </w:t>
      </w:r>
      <w:r w:rsidRPr="00045BCB">
        <w:rPr>
          <w:lang w:val="en-GB"/>
        </w:rPr>
        <w:t>performance information</w:t>
      </w:r>
      <w:r w:rsidRPr="00045BCB">
        <w:t xml:space="preserve">, whether due to fraud or error. In making those risk assessments, we consider internal control relevant to the preparation of </w:t>
      </w:r>
      <w:r>
        <w:rPr>
          <w:spacing w:val="-3"/>
        </w:rPr>
        <w:t>Creative New Zealand</w:t>
      </w:r>
      <w:r w:rsidRPr="00045BCB">
        <w:t>’s financial statements and non</w:t>
      </w:r>
      <w:r>
        <w:noBreakHyphen/>
      </w:r>
      <w:r w:rsidRPr="00045BCB">
        <w:t xml:space="preserve">financial </w:t>
      </w:r>
      <w:r w:rsidRPr="00045BCB">
        <w:rPr>
          <w:lang w:val="en-GB"/>
        </w:rPr>
        <w:t xml:space="preserve">performance information </w:t>
      </w:r>
      <w:r w:rsidRPr="00045BCB">
        <w:t xml:space="preserve">that fairly reflect the matters to which they relate. We consider internal control in order to design audit procedures that are appropriate in the circumstances but not for the purpose of expressing an opinion on the effectiveness of </w:t>
      </w:r>
      <w:r>
        <w:rPr>
          <w:spacing w:val="-3"/>
        </w:rPr>
        <w:t>Creative New Zealand</w:t>
      </w:r>
      <w:r w:rsidRPr="00045BCB">
        <w:t>’s internal control.</w:t>
      </w:r>
    </w:p>
    <w:p w:rsidR="00832980" w:rsidRPr="00045BCB" w:rsidRDefault="00832980" w:rsidP="00832980">
      <w:r w:rsidRPr="00045BCB">
        <w:t>An audit also involves evaluating:</w:t>
      </w:r>
    </w:p>
    <w:p w:rsidR="00832980" w:rsidRPr="00045BCB" w:rsidRDefault="00832980" w:rsidP="00832980">
      <w:pPr>
        <w:pStyle w:val="Bullet"/>
      </w:pPr>
      <w:r w:rsidRPr="00045BCB">
        <w:t>the appropriateness of accounting policies used and whether they have been consistently applied;</w:t>
      </w:r>
    </w:p>
    <w:p w:rsidR="00832980" w:rsidRPr="00045BCB" w:rsidRDefault="00832980" w:rsidP="00832980">
      <w:pPr>
        <w:pStyle w:val="Bullet"/>
      </w:pPr>
      <w:r w:rsidRPr="00045BCB">
        <w:t xml:space="preserve">the reasonableness of the significant accounting estimates and judgements made by the </w:t>
      </w:r>
      <w:r>
        <w:t>Arts Council</w:t>
      </w:r>
      <w:r w:rsidRPr="00045BCB">
        <w:t>;</w:t>
      </w:r>
    </w:p>
    <w:p w:rsidR="00832980" w:rsidRPr="00045BCB" w:rsidRDefault="00832980" w:rsidP="00832980">
      <w:pPr>
        <w:pStyle w:val="Bullet"/>
      </w:pPr>
      <w:r w:rsidRPr="00045BCB">
        <w:t>the appropriateness of the reported non</w:t>
      </w:r>
      <w:r>
        <w:noBreakHyphen/>
      </w:r>
      <w:r w:rsidRPr="00045BCB">
        <w:t xml:space="preserve">financial performance information within </w:t>
      </w:r>
      <w:r>
        <w:rPr>
          <w:spacing w:val="-3"/>
        </w:rPr>
        <w:t xml:space="preserve">Creative New Zealand </w:t>
      </w:r>
      <w:r w:rsidRPr="00045BCB">
        <w:t>’s framework for reporting performance;</w:t>
      </w:r>
    </w:p>
    <w:p w:rsidR="00832980" w:rsidRPr="00045BCB" w:rsidRDefault="00832980" w:rsidP="00832980">
      <w:pPr>
        <w:pStyle w:val="Bullet"/>
      </w:pPr>
      <w:r w:rsidRPr="00045BCB">
        <w:t>the adequacy of all disclosures in the financial statements and non</w:t>
      </w:r>
      <w:r>
        <w:noBreakHyphen/>
      </w:r>
      <w:r w:rsidRPr="00045BCB">
        <w:t xml:space="preserve">financial </w:t>
      </w:r>
      <w:r w:rsidRPr="00045BCB">
        <w:rPr>
          <w:lang w:val="en-GB"/>
        </w:rPr>
        <w:t>performance information</w:t>
      </w:r>
      <w:r w:rsidRPr="00045BCB">
        <w:t>; and</w:t>
      </w:r>
    </w:p>
    <w:p w:rsidR="00832980" w:rsidRPr="00045BCB" w:rsidRDefault="00832980" w:rsidP="00832980">
      <w:pPr>
        <w:pStyle w:val="Bullet"/>
      </w:pPr>
      <w:r w:rsidRPr="00045BCB">
        <w:t>the overall presentation of the financial statements and non</w:t>
      </w:r>
      <w:r>
        <w:noBreakHyphen/>
      </w:r>
      <w:r w:rsidRPr="00045BCB">
        <w:t xml:space="preserve">financial </w:t>
      </w:r>
      <w:r w:rsidRPr="00045BCB">
        <w:rPr>
          <w:lang w:val="en-GB"/>
        </w:rPr>
        <w:t>performance information</w:t>
      </w:r>
      <w:r w:rsidRPr="00045BCB">
        <w:t>.</w:t>
      </w:r>
    </w:p>
    <w:p w:rsidR="00832980" w:rsidRPr="00045BCB" w:rsidRDefault="00832980" w:rsidP="00832980">
      <w:r w:rsidRPr="00045BCB">
        <w:t>We did not examine every transaction, nor do we guarantee complete accuracy of the financial statements and non</w:t>
      </w:r>
      <w:r>
        <w:noBreakHyphen/>
      </w:r>
      <w:r w:rsidRPr="00045BCB">
        <w:t xml:space="preserve">financial </w:t>
      </w:r>
      <w:r w:rsidRPr="00045BCB">
        <w:rPr>
          <w:lang w:val="en-GB"/>
        </w:rPr>
        <w:t>performance information</w:t>
      </w:r>
      <w:r w:rsidRPr="00045BCB">
        <w:t>. Also we did not evaluate the security and controls over the electronic publication of the financial statements and non</w:t>
      </w:r>
      <w:r>
        <w:noBreakHyphen/>
      </w:r>
      <w:r w:rsidRPr="00045BCB">
        <w:t>fin</w:t>
      </w:r>
      <w:r>
        <w:t>ancial performance information.</w:t>
      </w:r>
    </w:p>
    <w:p w:rsidR="00832980" w:rsidRPr="00045BCB" w:rsidRDefault="00832980" w:rsidP="00832980">
      <w:r w:rsidRPr="00045BCB">
        <w:t>We have obtained all the information and explanations we have required and we believe we have obtained sufficient and appropriate audit evidence to provide a basis for our audit opinion.</w:t>
      </w:r>
    </w:p>
    <w:p w:rsidR="00832980" w:rsidRPr="00045BCB" w:rsidRDefault="00832980" w:rsidP="00832980">
      <w:pPr>
        <w:pStyle w:val="Heading4"/>
      </w:pPr>
      <w:r w:rsidRPr="00045BCB">
        <w:t xml:space="preserve">Responsibilities of the </w:t>
      </w:r>
      <w:r>
        <w:t>Arts Council</w:t>
      </w:r>
    </w:p>
    <w:p w:rsidR="00832980" w:rsidRPr="00045BCB" w:rsidRDefault="00832980" w:rsidP="00832980">
      <w:r w:rsidRPr="00045BCB">
        <w:t xml:space="preserve">The </w:t>
      </w:r>
      <w:r>
        <w:t>Arts Council</w:t>
      </w:r>
      <w:r w:rsidRPr="00045BCB">
        <w:t xml:space="preserve"> is responsible for preparing financial statements and non</w:t>
      </w:r>
      <w:r>
        <w:noBreakHyphen/>
      </w:r>
      <w:r w:rsidRPr="00045BCB">
        <w:t>financial performance information that:</w:t>
      </w:r>
    </w:p>
    <w:p w:rsidR="00832980" w:rsidRPr="00045BCB" w:rsidRDefault="00832980" w:rsidP="00832980">
      <w:pPr>
        <w:pStyle w:val="Bullet"/>
      </w:pPr>
      <w:r w:rsidRPr="00045BCB">
        <w:t xml:space="preserve">comply with generally accepted accounting practice in </w:t>
      </w:r>
      <w:r>
        <w:t>New Zealand</w:t>
      </w:r>
      <w:r w:rsidRPr="00045BCB">
        <w:t xml:space="preserve">; </w:t>
      </w:r>
    </w:p>
    <w:p w:rsidR="00832980" w:rsidRPr="00045BCB" w:rsidRDefault="00832980" w:rsidP="00832980">
      <w:pPr>
        <w:pStyle w:val="Bullet"/>
      </w:pPr>
      <w:r>
        <w:t>fa</w:t>
      </w:r>
      <w:r w:rsidRPr="00045BCB">
        <w:t xml:space="preserve">irly reflect </w:t>
      </w:r>
      <w:r>
        <w:rPr>
          <w:spacing w:val="-3"/>
        </w:rPr>
        <w:t xml:space="preserve">Creative New Zealand </w:t>
      </w:r>
      <w:r w:rsidRPr="00045BCB">
        <w:t>’s financial position, financial performance and cash flows; and</w:t>
      </w:r>
    </w:p>
    <w:p w:rsidR="00832980" w:rsidRPr="00045BCB" w:rsidRDefault="00832980" w:rsidP="00832980">
      <w:pPr>
        <w:pStyle w:val="Bullet"/>
      </w:pPr>
      <w:r w:rsidRPr="00045BCB">
        <w:t>fairly reflect its service performance and outcomes.</w:t>
      </w:r>
    </w:p>
    <w:p w:rsidR="00832980" w:rsidRPr="00045BCB" w:rsidRDefault="00832980" w:rsidP="00832980">
      <w:r w:rsidRPr="00045BCB">
        <w:t xml:space="preserve">The </w:t>
      </w:r>
      <w:r>
        <w:t>Arts Council</w:t>
      </w:r>
      <w:r w:rsidRPr="00045BCB">
        <w:t xml:space="preserve"> is also responsible for such internal control as is determined necessary to enable the preparation of financial statements and non</w:t>
      </w:r>
      <w:r>
        <w:noBreakHyphen/>
      </w:r>
      <w:r w:rsidRPr="00045BCB">
        <w:t xml:space="preserve">financial </w:t>
      </w:r>
      <w:r w:rsidRPr="00045BCB">
        <w:rPr>
          <w:lang w:val="en-GB"/>
        </w:rPr>
        <w:t xml:space="preserve">performance information </w:t>
      </w:r>
      <w:r w:rsidRPr="00045BCB">
        <w:t xml:space="preserve">that are free from material misstatement, whether due to fraud or error. The </w:t>
      </w:r>
      <w:r>
        <w:t>Arts Council</w:t>
      </w:r>
      <w:r w:rsidRPr="00045BCB">
        <w:t xml:space="preserve"> is also responsible for the publication of the financial statements and non</w:t>
      </w:r>
      <w:r>
        <w:noBreakHyphen/>
      </w:r>
      <w:r w:rsidRPr="00045BCB">
        <w:t>financial performance information, whether in printed or electronic form.</w:t>
      </w:r>
    </w:p>
    <w:p w:rsidR="00832980" w:rsidRPr="00045BCB" w:rsidRDefault="00832980" w:rsidP="00832980">
      <w:r w:rsidRPr="00045BCB">
        <w:rPr>
          <w:lang w:val="en-GB"/>
        </w:rPr>
        <w:t xml:space="preserve">The </w:t>
      </w:r>
      <w:r>
        <w:rPr>
          <w:lang w:val="en-GB"/>
        </w:rPr>
        <w:t>Arts Council</w:t>
      </w:r>
      <w:r w:rsidRPr="00045BCB">
        <w:rPr>
          <w:lang w:val="en-GB"/>
        </w:rPr>
        <w:t xml:space="preserve">’s </w:t>
      </w:r>
      <w:r w:rsidRPr="00045BCB">
        <w:t>responsibilities arise from the C</w:t>
      </w:r>
      <w:r>
        <w:t>rown Entities Act 2004.</w:t>
      </w:r>
    </w:p>
    <w:p w:rsidR="00832980" w:rsidRPr="00045BCB" w:rsidRDefault="00832980" w:rsidP="00832980">
      <w:pPr>
        <w:pStyle w:val="Heading4"/>
      </w:pPr>
      <w:r w:rsidRPr="00045BCB">
        <w:t>Responsibilities of the Auditor</w:t>
      </w:r>
    </w:p>
    <w:p w:rsidR="00832980" w:rsidRPr="00045BCB" w:rsidRDefault="00832980" w:rsidP="00832980">
      <w:pPr>
        <w:rPr>
          <w:lang w:val="en-GB"/>
        </w:rPr>
      </w:pPr>
      <w:r w:rsidRPr="00045BCB">
        <w:t>We are responsible for expressing an independent opinion on the financial statements and non</w:t>
      </w:r>
      <w:r>
        <w:noBreakHyphen/>
      </w:r>
      <w:r w:rsidRPr="00045BCB">
        <w:t xml:space="preserve">financial </w:t>
      </w:r>
      <w:r w:rsidRPr="00045BCB">
        <w:rPr>
          <w:lang w:val="en-GB"/>
        </w:rPr>
        <w:t xml:space="preserve">performance information </w:t>
      </w:r>
      <w:r w:rsidRPr="00045BCB">
        <w:t>and reporting that opinion to you based on our audit. Our responsibility arises from section 15 of the Public Audit Act 2001 and the Crown Entities Act 2004</w:t>
      </w:r>
      <w:r w:rsidRPr="00045BCB">
        <w:rPr>
          <w:lang w:val="en-GB"/>
        </w:rPr>
        <w:t>.</w:t>
      </w:r>
    </w:p>
    <w:p w:rsidR="00832980" w:rsidRPr="00045BCB" w:rsidRDefault="00832980" w:rsidP="00832980">
      <w:pPr>
        <w:pStyle w:val="Heading4"/>
      </w:pPr>
      <w:r w:rsidRPr="00045BCB">
        <w:t>Independence</w:t>
      </w:r>
    </w:p>
    <w:p w:rsidR="00832980" w:rsidRPr="00045BCB" w:rsidRDefault="00832980" w:rsidP="00832980">
      <w:r w:rsidRPr="00045BCB">
        <w:t>When carrying out the audit, we followed the independence requirements of the Auditor</w:t>
      </w:r>
      <w:r>
        <w:noBreakHyphen/>
      </w:r>
      <w:r w:rsidRPr="00045BCB">
        <w:t>General, which incorporate the independence requirements of the External Reporting Board.</w:t>
      </w:r>
    </w:p>
    <w:p w:rsidR="00832980" w:rsidRPr="00045BCB" w:rsidRDefault="00832980" w:rsidP="00832980">
      <w:r w:rsidRPr="00045BCB">
        <w:t xml:space="preserve">Other than the audit, we have no relationship with or interests in </w:t>
      </w:r>
      <w:r>
        <w:rPr>
          <w:spacing w:val="-3"/>
        </w:rPr>
        <w:t>Creative New Zealand</w:t>
      </w:r>
      <w:r w:rsidRPr="00045BCB">
        <w:t>.</w:t>
      </w:r>
    </w:p>
    <w:p w:rsidR="00533125" w:rsidRPr="006552E9" w:rsidRDefault="00533125" w:rsidP="00533125"/>
    <w:p w:rsidR="00B52F94" w:rsidRPr="006552E9" w:rsidRDefault="00A76AB5" w:rsidP="0035152F">
      <w:pPr>
        <w:pStyle w:val="ANZBodyText"/>
        <w:spacing w:before="0" w:after="0"/>
      </w:pPr>
      <w:r w:rsidRPr="006552E9">
        <w:rPr>
          <w:noProof/>
          <w:lang w:eastAsia="en-NZ"/>
        </w:rPr>
        <w:drawing>
          <wp:inline distT="0" distB="0" distL="0" distR="0" wp14:anchorId="4A60058B" wp14:editId="60C180E8">
            <wp:extent cx="1544320" cy="612775"/>
            <wp:effectExtent l="0" t="0" r="0" b="0"/>
            <wp:docPr id="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t="13600" b="24001"/>
                    <a:stretch>
                      <a:fillRect/>
                    </a:stretch>
                  </pic:blipFill>
                  <pic:spPr bwMode="auto">
                    <a:xfrm>
                      <a:off x="0" y="0"/>
                      <a:ext cx="1544320" cy="612775"/>
                    </a:xfrm>
                    <a:prstGeom prst="rect">
                      <a:avLst/>
                    </a:prstGeom>
                    <a:noFill/>
                    <a:ln>
                      <a:noFill/>
                    </a:ln>
                  </pic:spPr>
                </pic:pic>
              </a:graphicData>
            </a:graphic>
          </wp:inline>
        </w:drawing>
      </w:r>
    </w:p>
    <w:p w:rsidR="00B52F94" w:rsidRPr="006552E9" w:rsidRDefault="00B52F94" w:rsidP="00B52F94">
      <w:pPr>
        <w:spacing w:before="0"/>
      </w:pPr>
      <w:r w:rsidRPr="006552E9">
        <w:t>J</w:t>
      </w:r>
      <w:r w:rsidR="00A94A8A">
        <w:t xml:space="preserve"> </w:t>
      </w:r>
      <w:r w:rsidRPr="006552E9">
        <w:t>R Smaill</w:t>
      </w:r>
    </w:p>
    <w:p w:rsidR="00B52F94" w:rsidRPr="006552E9" w:rsidRDefault="00B52F94" w:rsidP="00B52F94">
      <w:pPr>
        <w:spacing w:before="0"/>
      </w:pPr>
      <w:r w:rsidRPr="006552E9">
        <w:t>Audit New Zealand</w:t>
      </w:r>
    </w:p>
    <w:p w:rsidR="00B52F94" w:rsidRPr="006552E9" w:rsidRDefault="00B52F94" w:rsidP="00B52F94">
      <w:pPr>
        <w:spacing w:before="0"/>
      </w:pPr>
      <w:r w:rsidRPr="006552E9">
        <w:t>On behalf of the Auditor</w:t>
      </w:r>
      <w:r w:rsidRPr="006552E9">
        <w:noBreakHyphen/>
        <w:t>General</w:t>
      </w:r>
    </w:p>
    <w:p w:rsidR="00B52F94" w:rsidRPr="006552E9" w:rsidRDefault="00B52F94" w:rsidP="00B52F94">
      <w:pPr>
        <w:spacing w:before="0"/>
      </w:pPr>
      <w:r w:rsidRPr="006552E9">
        <w:t>Wellington, New Zealand</w:t>
      </w:r>
    </w:p>
    <w:p w:rsidR="005D0182" w:rsidRPr="006552E9" w:rsidRDefault="005D0182" w:rsidP="00B52F94">
      <w:pPr>
        <w:spacing w:before="0"/>
      </w:pPr>
    </w:p>
    <w:p w:rsidR="005D0182" w:rsidRPr="006552E9" w:rsidRDefault="005D0182">
      <w:pPr>
        <w:spacing w:before="0"/>
        <w:jc w:val="left"/>
      </w:pPr>
      <w:r w:rsidRPr="006552E9">
        <w:br w:type="page"/>
      </w:r>
    </w:p>
    <w:p w:rsidR="00533125" w:rsidRPr="006552E9" w:rsidRDefault="00533125" w:rsidP="00533125">
      <w:pPr>
        <w:pStyle w:val="Heading1"/>
        <w:jc w:val="left"/>
      </w:pPr>
      <w:bookmarkStart w:id="78" w:name="_Toc373415048"/>
      <w:r w:rsidRPr="006552E9">
        <w:t>Financial statements |</w:t>
      </w:r>
      <w:r w:rsidRPr="006552E9">
        <w:br/>
      </w:r>
      <w:r w:rsidR="003473D3" w:rsidRPr="006552E9">
        <w:t>Ngā pūrongo pūtea</w:t>
      </w:r>
      <w:bookmarkEnd w:id="78"/>
    </w:p>
    <w:p w:rsidR="009336B2" w:rsidRPr="006552E9" w:rsidRDefault="00480C6B" w:rsidP="003E117E">
      <w:pPr>
        <w:pStyle w:val="Heading2"/>
        <w:rPr>
          <w:szCs w:val="22"/>
        </w:rPr>
      </w:pPr>
      <w:bookmarkStart w:id="79" w:name="_Toc373415049"/>
      <w:r w:rsidRPr="006552E9">
        <w:t xml:space="preserve">Statement of </w:t>
      </w:r>
      <w:r w:rsidR="00341578" w:rsidRPr="006552E9">
        <w:t>responsibility</w:t>
      </w:r>
      <w:bookmarkEnd w:id="79"/>
      <w:r w:rsidR="00341578" w:rsidRPr="006552E9">
        <w:rPr>
          <w:szCs w:val="22"/>
        </w:rPr>
        <w:t xml:space="preserve"> </w:t>
      </w:r>
    </w:p>
    <w:p w:rsidR="00C92AC0" w:rsidRPr="006552E9" w:rsidRDefault="00C92AC0" w:rsidP="00C92AC0">
      <w:pPr>
        <w:spacing w:before="0"/>
        <w:jc w:val="left"/>
      </w:pPr>
      <w:r w:rsidRPr="006552E9">
        <w:t>For the year ended 30 June 201</w:t>
      </w:r>
      <w:r w:rsidR="00533125" w:rsidRPr="006552E9">
        <w:t>3</w:t>
      </w:r>
    </w:p>
    <w:p w:rsidR="00C92AC0" w:rsidRPr="006552E9" w:rsidRDefault="00C92AC0" w:rsidP="00C92AC0">
      <w:pPr>
        <w:spacing w:before="0"/>
        <w:jc w:val="left"/>
      </w:pPr>
    </w:p>
    <w:p w:rsidR="00890157" w:rsidRPr="006552E9" w:rsidRDefault="00890157" w:rsidP="004E77B9">
      <w:r w:rsidRPr="006552E9">
        <w:t xml:space="preserve">The </w:t>
      </w:r>
      <w:r w:rsidR="00872D9B" w:rsidRPr="006552E9">
        <w:t xml:space="preserve">Arts </w:t>
      </w:r>
      <w:r w:rsidRPr="006552E9">
        <w:t xml:space="preserve">Council </w:t>
      </w:r>
      <w:r w:rsidR="00872D9B" w:rsidRPr="006552E9">
        <w:t xml:space="preserve">(the governing body </w:t>
      </w:r>
      <w:r w:rsidRPr="006552E9">
        <w:t>of Creative New Zealand</w:t>
      </w:r>
      <w:r w:rsidR="00872D9B" w:rsidRPr="006552E9">
        <w:t>)</w:t>
      </w:r>
      <w:r w:rsidRPr="006552E9">
        <w:t xml:space="preserve"> accepts responsibility for the preparation of</w:t>
      </w:r>
      <w:r w:rsidRPr="006552E9">
        <w:rPr>
          <w:b/>
        </w:rPr>
        <w:t xml:space="preserve"> </w:t>
      </w:r>
      <w:r w:rsidRPr="006552E9">
        <w:t>Creative New Zealand’s financial statements and statement of service performance, and the judgements made in them</w:t>
      </w:r>
      <w:r w:rsidR="009C6829" w:rsidRPr="006552E9">
        <w:t>.</w:t>
      </w:r>
      <w:r w:rsidR="00175E6D" w:rsidRPr="006552E9">
        <w:t xml:space="preserve"> </w:t>
      </w:r>
    </w:p>
    <w:p w:rsidR="00890157" w:rsidRPr="006552E9" w:rsidRDefault="00890157" w:rsidP="004E77B9">
      <w:r w:rsidRPr="006552E9">
        <w:t xml:space="preserve">The </w:t>
      </w:r>
      <w:r w:rsidR="000F2E8C" w:rsidRPr="006552E9">
        <w:t xml:space="preserve">Arts </w:t>
      </w:r>
      <w:r w:rsidRPr="006552E9">
        <w:t>Council accepts responsibility for establishing and maintaining a system of internal control designed to provide reasonable assurance as to the integrity and reliability of financial and non-financial reporting.</w:t>
      </w:r>
    </w:p>
    <w:p w:rsidR="00890157" w:rsidRPr="006552E9" w:rsidRDefault="00890157" w:rsidP="004E77B9">
      <w:r w:rsidRPr="006552E9">
        <w:t xml:space="preserve">In the opinion of </w:t>
      </w:r>
      <w:r w:rsidR="00DC362B" w:rsidRPr="006552E9">
        <w:t>the Arts Council</w:t>
      </w:r>
      <w:r w:rsidRPr="006552E9">
        <w:t>, the annual financial statements and the statement of service performance for the year ended 30 June 201</w:t>
      </w:r>
      <w:r w:rsidR="00533125" w:rsidRPr="006552E9">
        <w:t>3</w:t>
      </w:r>
      <w:r w:rsidRPr="006552E9">
        <w:t xml:space="preserve"> fairly reflect the financial position and operations of Creative New Zealand</w:t>
      </w:r>
      <w:r w:rsidR="009C6829" w:rsidRPr="006552E9">
        <w:t>.</w:t>
      </w:r>
      <w:r w:rsidR="00175E6D" w:rsidRPr="006552E9">
        <w:t xml:space="preserve"> </w:t>
      </w:r>
    </w:p>
    <w:p w:rsidR="00890157" w:rsidRPr="006552E9" w:rsidRDefault="00890157" w:rsidP="004E77B9">
      <w:r w:rsidRPr="006552E9">
        <w:t xml:space="preserve">Signed on behalf of </w:t>
      </w:r>
      <w:r w:rsidR="00DC362B" w:rsidRPr="006552E9">
        <w:t>the Arts Council</w:t>
      </w:r>
      <w:r w:rsidRPr="006552E9">
        <w:t>:</w:t>
      </w:r>
    </w:p>
    <w:p w:rsidR="00067EFE" w:rsidRPr="006552E9" w:rsidRDefault="00067EFE" w:rsidP="00067EFE"/>
    <w:p w:rsidR="00067EFE" w:rsidRPr="006552E9" w:rsidRDefault="001723FB" w:rsidP="00067EFE">
      <w:r w:rsidRPr="006552E9">
        <w:rPr>
          <w:noProof/>
        </w:rPr>
        <w:drawing>
          <wp:inline distT="0" distB="0" distL="0" distR="0" wp14:anchorId="7A7B3532" wp14:editId="63B4B519">
            <wp:extent cx="1463040" cy="81381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 s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813816"/>
                    </a:xfrm>
                    <a:prstGeom prst="rect">
                      <a:avLst/>
                    </a:prstGeom>
                  </pic:spPr>
                </pic:pic>
              </a:graphicData>
            </a:graphic>
          </wp:inline>
        </w:drawing>
      </w:r>
    </w:p>
    <w:p w:rsidR="00067EFE" w:rsidRPr="006552E9" w:rsidRDefault="00533125" w:rsidP="00067EFE">
      <w:r w:rsidRPr="006552E9">
        <w:t>RS Grant</w:t>
      </w:r>
    </w:p>
    <w:p w:rsidR="00067EFE" w:rsidRPr="006552E9" w:rsidRDefault="00067EFE" w:rsidP="00067EFE">
      <w:pPr>
        <w:spacing w:before="0"/>
      </w:pPr>
      <w:r w:rsidRPr="006552E9">
        <w:t>Chair, Arts Council</w:t>
      </w:r>
    </w:p>
    <w:p w:rsidR="00067EFE" w:rsidRPr="006552E9" w:rsidRDefault="00832980" w:rsidP="00067EFE">
      <w:pPr>
        <w:spacing w:before="0"/>
      </w:pPr>
      <w:r>
        <w:t>31 October 2013</w:t>
      </w:r>
    </w:p>
    <w:p w:rsidR="00890157" w:rsidRPr="006552E9" w:rsidRDefault="00890157" w:rsidP="004E77B9"/>
    <w:p w:rsidR="00890157" w:rsidRPr="006552E9" w:rsidRDefault="00A76AB5" w:rsidP="004E77B9">
      <w:r w:rsidRPr="006552E9">
        <w:rPr>
          <w:noProof/>
        </w:rPr>
        <w:drawing>
          <wp:inline distT="0" distB="0" distL="0" distR="0" wp14:anchorId="26947C8A" wp14:editId="297A88A9">
            <wp:extent cx="2251710" cy="741680"/>
            <wp:effectExtent l="0" t="0" r="0" b="1270"/>
            <wp:docPr id="29" name="Picture 17" descr="Erima Henare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ima Henare Electronic 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10" cy="741680"/>
                    </a:xfrm>
                    <a:prstGeom prst="rect">
                      <a:avLst/>
                    </a:prstGeom>
                    <a:noFill/>
                    <a:ln>
                      <a:noFill/>
                    </a:ln>
                  </pic:spPr>
                </pic:pic>
              </a:graphicData>
            </a:graphic>
          </wp:inline>
        </w:drawing>
      </w:r>
    </w:p>
    <w:p w:rsidR="00890157" w:rsidRPr="006552E9" w:rsidRDefault="00890157" w:rsidP="004E77B9"/>
    <w:p w:rsidR="00890157" w:rsidRPr="006552E9" w:rsidRDefault="00834669" w:rsidP="00694CEE">
      <w:pPr>
        <w:spacing w:before="0"/>
      </w:pPr>
      <w:r w:rsidRPr="006552E9">
        <w:t>Erima Henare</w:t>
      </w:r>
    </w:p>
    <w:p w:rsidR="00890157" w:rsidRPr="006552E9" w:rsidRDefault="004A536F" w:rsidP="00694CEE">
      <w:pPr>
        <w:spacing w:before="0"/>
      </w:pPr>
      <w:r w:rsidRPr="006552E9">
        <w:t xml:space="preserve">Member, </w:t>
      </w:r>
      <w:r w:rsidR="00890157" w:rsidRPr="006552E9">
        <w:t xml:space="preserve">Arts Council </w:t>
      </w:r>
    </w:p>
    <w:p w:rsidR="000E4F7C" w:rsidRPr="006552E9" w:rsidRDefault="00832980" w:rsidP="00067EFE">
      <w:pPr>
        <w:spacing w:before="0"/>
      </w:pPr>
      <w:r>
        <w:t>31 October 2013</w:t>
      </w:r>
    </w:p>
    <w:p w:rsidR="00B626ED" w:rsidRPr="006552E9" w:rsidRDefault="00B626ED" w:rsidP="004E77B9"/>
    <w:p w:rsidR="003E117E" w:rsidRPr="006552E9" w:rsidRDefault="003E117E" w:rsidP="004E77B9">
      <w:pPr>
        <w:sectPr w:rsidR="003E117E" w:rsidRPr="006552E9" w:rsidSect="00910F52">
          <w:pgSz w:w="11907" w:h="16840" w:code="9"/>
          <w:pgMar w:top="1440" w:right="1440" w:bottom="1440" w:left="1440" w:header="709" w:footer="709" w:gutter="0"/>
          <w:cols w:space="708"/>
          <w:docGrid w:linePitch="360"/>
        </w:sectPr>
      </w:pPr>
    </w:p>
    <w:p w:rsidR="006F53E9" w:rsidRPr="006552E9" w:rsidRDefault="006F53E9" w:rsidP="006F53E9">
      <w:pPr>
        <w:pStyle w:val="Heading2"/>
      </w:pPr>
      <w:bookmarkStart w:id="80" w:name="_Toc373415050"/>
      <w:r w:rsidRPr="006552E9">
        <w:t>Summary of financial performance</w:t>
      </w:r>
      <w:bookmarkEnd w:id="80"/>
    </w:p>
    <w:p w:rsidR="006F53E9" w:rsidRPr="006552E9" w:rsidRDefault="006F53E9" w:rsidP="006F53E9">
      <w:r w:rsidRPr="006552E9">
        <w:t xml:space="preserve">Overall, the financial statements for the year ended 30 June 2013 show a positive picture of the organisation’s financial performance and financial position, including: </w:t>
      </w:r>
    </w:p>
    <w:p w:rsidR="006F53E9" w:rsidRPr="006552E9" w:rsidRDefault="006F53E9" w:rsidP="006F53E9">
      <w:pPr>
        <w:pStyle w:val="Bullet"/>
      </w:pPr>
      <w:r w:rsidRPr="006552E9">
        <w:t xml:space="preserve">a record level of income </w:t>
      </w:r>
      <w:r w:rsidR="00AD2240">
        <w:t>that</w:t>
      </w:r>
      <w:r w:rsidRPr="006552E9">
        <w:t xml:space="preserve"> was not budgeted for in the published SOI</w:t>
      </w:r>
      <w:r w:rsidR="00AD2240">
        <w:t xml:space="preserve"> 2012–15</w:t>
      </w:r>
      <w:r w:rsidRPr="006552E9">
        <w:t xml:space="preserve"> </w:t>
      </w:r>
    </w:p>
    <w:p w:rsidR="006F53E9" w:rsidRPr="006552E9" w:rsidRDefault="006F53E9" w:rsidP="006F53E9">
      <w:pPr>
        <w:pStyle w:val="Bullet"/>
      </w:pPr>
      <w:r w:rsidRPr="006552E9">
        <w:t xml:space="preserve">funding, capability building and advocacy provided to the sector are at the same level as in the previous year but above the SOI budget </w:t>
      </w:r>
    </w:p>
    <w:p w:rsidR="006F53E9" w:rsidRPr="006552E9" w:rsidRDefault="006F53E9" w:rsidP="006F53E9">
      <w:pPr>
        <w:pStyle w:val="Bullet"/>
      </w:pPr>
      <w:r w:rsidRPr="006552E9">
        <w:t xml:space="preserve">operating expenses are at the lowest level they have been in the past six years (see Figure </w:t>
      </w:r>
      <w:r w:rsidR="00901445">
        <w:t>2</w:t>
      </w:r>
      <w:r w:rsidR="00203B9F">
        <w:t>7</w:t>
      </w:r>
      <w:r w:rsidRPr="006552E9">
        <w:t>)</w:t>
      </w:r>
      <w:r w:rsidR="00AD2240">
        <w:t>.</w:t>
      </w:r>
    </w:p>
    <w:p w:rsidR="006F53E9" w:rsidRPr="006552E9" w:rsidRDefault="005D6E4A" w:rsidP="006F53E9">
      <w:pPr>
        <w:keepNext/>
      </w:pPr>
      <w:r>
        <w:rPr>
          <w:noProof/>
        </w:rPr>
        <w:pict>
          <v:shape id="_x0000_i1043" type="#_x0000_t75" alt="Bar chart showing actual expenditure on grants and initiatives and personnel costs and overheads since 2003/04.&#10;&#10;2003/04&#10;Grants and initiatives $27.3 million (80 percent of total)&#10;Personnel costs and overheads $ 4.8 million (20 oercent)&#10;&#10;2012/13&#10;Grants and initiatives $38.6 million (84 percent)&#10;Personnel costs and overheads $7.2 million (16 percent)" style="width:424.5pt;height:339.35pt">
            <v:imagedata r:id="rId49" o:title=""/>
          </v:shape>
        </w:pict>
      </w:r>
    </w:p>
    <w:p w:rsidR="006F53E9" w:rsidRPr="006552E9" w:rsidRDefault="006F53E9" w:rsidP="006F53E9">
      <w:pPr>
        <w:pStyle w:val="Caption"/>
        <w:jc w:val="both"/>
      </w:pPr>
      <w:r w:rsidRPr="006552E9">
        <w:t xml:space="preserve">Figure </w:t>
      </w:r>
      <w:fldSimple w:instr=" SEQ Figure \* ARABIC ">
        <w:r w:rsidR="002F6A04">
          <w:rPr>
            <w:noProof/>
          </w:rPr>
          <w:t>27</w:t>
        </w:r>
      </w:fldSimple>
      <w:r w:rsidRPr="006552E9">
        <w:t xml:space="preserve">: Expenditure </w:t>
      </w:r>
      <w:r w:rsidR="00877D63">
        <w:t>–</w:t>
      </w:r>
      <w:r w:rsidRPr="006552E9">
        <w:t xml:space="preserve"> Grants and initiatives and personnel costs and overheads, 2003/04 to 2012/13</w:t>
      </w:r>
    </w:p>
    <w:p w:rsidR="006F53E9" w:rsidRPr="006552E9" w:rsidRDefault="006F53E9" w:rsidP="006F53E9">
      <w:r w:rsidRPr="006552E9">
        <w:t xml:space="preserve">The financial position is strong with total assets of $27.467 million and a net equity position of $12.415 million. Creative New Zealand needs to </w:t>
      </w:r>
      <w:r w:rsidR="00BC6FDE">
        <w:t>keep</w:t>
      </w:r>
      <w:r w:rsidRPr="006552E9">
        <w:t xml:space="preserve"> a relatively high level of funds on hand to meet funding commitments which are made for two or three years out.</w:t>
      </w:r>
    </w:p>
    <w:p w:rsidR="006F53E9" w:rsidRPr="006552E9" w:rsidRDefault="006F53E9" w:rsidP="006F53E9">
      <w:r w:rsidRPr="006552E9">
        <w:t>Our cash and investments position is strong at $15.145 million, an increase on the previous year due to higher income.</w:t>
      </w:r>
    </w:p>
    <w:p w:rsidR="006F53E9" w:rsidRPr="006552E9" w:rsidRDefault="006F53E9" w:rsidP="008F45DE">
      <w:pPr>
        <w:rPr>
          <w:rFonts w:ascii="Arial Black" w:hAnsi="Arial Black"/>
          <w:bCs/>
          <w:color w:val="17365D"/>
          <w:kern w:val="32"/>
          <w:sz w:val="36"/>
          <w:szCs w:val="32"/>
        </w:rPr>
      </w:pPr>
      <w:r w:rsidRPr="006552E9">
        <w:t>Capital expenditure projects are tracking to budget. The financial statements recognise a contingent liability of $2.7</w:t>
      </w:r>
      <w:r w:rsidR="00BC6FDE">
        <w:t xml:space="preserve"> million</w:t>
      </w:r>
      <w:r w:rsidRPr="006552E9">
        <w:t xml:space="preserve"> to $5.6 million for the strengthening of the Old Public Trust Building.</w:t>
      </w:r>
      <w:r w:rsidR="00175E6D" w:rsidRPr="006552E9">
        <w:t xml:space="preserve"> </w:t>
      </w:r>
      <w:r w:rsidRPr="006552E9">
        <w:t xml:space="preserve">However, the post-balance </w:t>
      </w:r>
      <w:r w:rsidR="00E203CC" w:rsidRPr="006552E9">
        <w:t xml:space="preserve">date </w:t>
      </w:r>
      <w:r w:rsidRPr="006552E9">
        <w:t>decision to sell the building removes the need for this contingency.</w:t>
      </w:r>
      <w:r w:rsidRPr="006552E9">
        <w:br w:type="page"/>
      </w:r>
    </w:p>
    <w:p w:rsidR="00173C0E" w:rsidRPr="006552E9" w:rsidRDefault="00173C0E" w:rsidP="00173C0E">
      <w:pPr>
        <w:pStyle w:val="Heading2"/>
      </w:pPr>
      <w:bookmarkStart w:id="81" w:name="_Toc339551244"/>
      <w:bookmarkStart w:id="82" w:name="_Toc373415051"/>
      <w:r w:rsidRPr="006552E9">
        <w:t xml:space="preserve">Statement of </w:t>
      </w:r>
      <w:r w:rsidR="00341578" w:rsidRPr="006552E9">
        <w:t>financial performance</w:t>
      </w:r>
      <w:bookmarkEnd w:id="81"/>
      <w:bookmarkEnd w:id="82"/>
      <w:r w:rsidR="00341578" w:rsidRPr="006552E9">
        <w:t xml:space="preserve"> </w:t>
      </w:r>
    </w:p>
    <w:p w:rsidR="00BC6FDE" w:rsidRPr="006552E9" w:rsidRDefault="00173C0E" w:rsidP="00173C0E">
      <w:r w:rsidRPr="006552E9">
        <w:t>For the year ended 30 June 2013</w:t>
      </w:r>
    </w:p>
    <w:tbl>
      <w:tblPr>
        <w:tblW w:w="9052" w:type="dxa"/>
        <w:tblInd w:w="93" w:type="dxa"/>
        <w:tblLook w:val="04A0" w:firstRow="1" w:lastRow="0" w:firstColumn="1" w:lastColumn="0" w:noHBand="0" w:noVBand="1"/>
      </w:tblPr>
      <w:tblGrid>
        <w:gridCol w:w="1158"/>
        <w:gridCol w:w="4669"/>
        <w:gridCol w:w="851"/>
        <w:gridCol w:w="1197"/>
        <w:gridCol w:w="1177"/>
      </w:tblGrid>
      <w:tr w:rsidR="00175E6D" w:rsidRPr="006552E9" w:rsidTr="00175E6D">
        <w:tc>
          <w:tcPr>
            <w:tcW w:w="1158" w:type="dxa"/>
            <w:tcBorders>
              <w:top w:val="nil"/>
              <w:left w:val="nil"/>
              <w:bottom w:val="nil"/>
              <w:right w:val="nil"/>
            </w:tcBorders>
            <w:shd w:val="clear" w:color="auto" w:fill="auto"/>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BUDGET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b/>
                <w:bCs/>
                <w:sz w:val="20"/>
                <w:szCs w:val="20"/>
              </w:rPr>
            </w:pPr>
          </w:p>
        </w:tc>
        <w:tc>
          <w:tcPr>
            <w:tcW w:w="1197" w:type="dxa"/>
            <w:tcBorders>
              <w:top w:val="nil"/>
              <w:left w:val="nil"/>
              <w:bottom w:val="nil"/>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ACTUAL </w:t>
            </w:r>
          </w:p>
        </w:tc>
        <w:tc>
          <w:tcPr>
            <w:tcW w:w="1177" w:type="dxa"/>
            <w:tcBorders>
              <w:top w:val="nil"/>
              <w:left w:val="nil"/>
              <w:bottom w:val="nil"/>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ACTUAL </w:t>
            </w:r>
          </w:p>
        </w:tc>
      </w:tr>
      <w:tr w:rsidR="00175E6D" w:rsidRPr="006552E9" w:rsidTr="00175E6D">
        <w:trPr>
          <w:trHeight w:val="267"/>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b/>
                <w:bCs/>
                <w:sz w:val="20"/>
                <w:szCs w:val="20"/>
              </w:rPr>
            </w:pPr>
            <w:r w:rsidRPr="006552E9">
              <w:rPr>
                <w:rFonts w:cs="Arial"/>
                <w:b/>
                <w:bCs/>
                <w:sz w:val="20"/>
                <w:szCs w:val="20"/>
              </w:rPr>
              <w:t xml:space="preserve"> NOTE </w:t>
            </w:r>
          </w:p>
        </w:tc>
        <w:tc>
          <w:tcPr>
            <w:tcW w:w="1197" w:type="dxa"/>
            <w:tcBorders>
              <w:top w:val="nil"/>
              <w:left w:val="nil"/>
              <w:bottom w:val="nil"/>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2013 </w:t>
            </w:r>
          </w:p>
        </w:tc>
        <w:tc>
          <w:tcPr>
            <w:tcW w:w="1177" w:type="dxa"/>
            <w:tcBorders>
              <w:top w:val="nil"/>
              <w:left w:val="nil"/>
              <w:bottom w:val="nil"/>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2012 </w:t>
            </w:r>
          </w:p>
        </w:tc>
      </w:tr>
      <w:tr w:rsidR="00175E6D" w:rsidRPr="006552E9" w:rsidTr="00175E6D">
        <w:trPr>
          <w:trHeight w:val="255"/>
        </w:trPr>
        <w:tc>
          <w:tcPr>
            <w:tcW w:w="1158"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4669"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w:t>
            </w:r>
          </w:p>
        </w:tc>
        <w:tc>
          <w:tcPr>
            <w:tcW w:w="851"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center"/>
              <w:rPr>
                <w:rFonts w:cs="Arial"/>
                <w:b/>
                <w:bCs/>
                <w:sz w:val="20"/>
                <w:szCs w:val="20"/>
              </w:rPr>
            </w:pPr>
            <w:r w:rsidRPr="006552E9">
              <w:rPr>
                <w:rFonts w:cs="Arial"/>
                <w:b/>
                <w:bCs/>
                <w:sz w:val="20"/>
                <w:szCs w:val="20"/>
              </w:rPr>
              <w:t> </w:t>
            </w:r>
          </w:p>
        </w:tc>
        <w:tc>
          <w:tcPr>
            <w:tcW w:w="1197"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$000 </w:t>
            </w:r>
          </w:p>
        </w:tc>
        <w:tc>
          <w:tcPr>
            <w:tcW w:w="1177"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$000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1177"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INCOME </w:t>
            </w: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1177"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15,689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Income from the Crown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2</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15,689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15,689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27,705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Income from New Zealand Lottery Grants Board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3</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31,024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27,516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550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Interest income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684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613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200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Grant retirements and gains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4</w:t>
            </w:r>
          </w:p>
        </w:tc>
        <w:tc>
          <w:tcPr>
            <w:tcW w:w="1197" w:type="dxa"/>
            <w:tcBorders>
              <w:top w:val="nil"/>
              <w:left w:val="nil"/>
              <w:bottom w:val="nil"/>
              <w:right w:val="nil"/>
            </w:tcBorders>
            <w:shd w:val="clear" w:color="auto" w:fill="auto"/>
            <w:noWrap/>
            <w:hideMark/>
          </w:tcPr>
          <w:p w:rsidR="00175E6D" w:rsidRPr="006552E9" w:rsidRDefault="00175E6D" w:rsidP="002E460F">
            <w:pPr>
              <w:spacing w:before="0"/>
              <w:jc w:val="right"/>
              <w:rPr>
                <w:rFonts w:cs="Arial"/>
                <w:sz w:val="20"/>
                <w:szCs w:val="20"/>
              </w:rPr>
            </w:pPr>
            <w:r w:rsidRPr="006552E9">
              <w:rPr>
                <w:rFonts w:cs="Arial"/>
                <w:sz w:val="20"/>
                <w:szCs w:val="20"/>
              </w:rPr>
              <w:t xml:space="preserve"> </w:t>
            </w:r>
            <w:r w:rsidR="002E460F">
              <w:rPr>
                <w:rFonts w:cs="Arial"/>
                <w:sz w:val="20"/>
                <w:szCs w:val="20"/>
              </w:rPr>
              <w:t>335</w:t>
            </w:r>
            <w:r w:rsidRPr="006552E9">
              <w:rPr>
                <w:rFonts w:cs="Arial"/>
                <w:sz w:val="20"/>
                <w:szCs w:val="20"/>
              </w:rPr>
              <w:t xml:space="preserve">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275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84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Other income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5</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671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94 </w:t>
            </w:r>
          </w:p>
        </w:tc>
      </w:tr>
      <w:tr w:rsidR="00175E6D" w:rsidRPr="006552E9" w:rsidTr="00175E6D">
        <w:trPr>
          <w:trHeight w:val="255"/>
        </w:trPr>
        <w:tc>
          <w:tcPr>
            <w:tcW w:w="1158"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44,228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INCOME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p>
        </w:tc>
        <w:tc>
          <w:tcPr>
            <w:tcW w:w="1197" w:type="dxa"/>
            <w:tcBorders>
              <w:top w:val="single" w:sz="4" w:space="0" w:color="auto"/>
              <w:left w:val="nil"/>
              <w:bottom w:val="single" w:sz="4" w:space="0" w:color="auto"/>
              <w:right w:val="nil"/>
            </w:tcBorders>
            <w:shd w:val="clear" w:color="auto" w:fill="auto"/>
            <w:noWrap/>
            <w:hideMark/>
          </w:tcPr>
          <w:p w:rsidR="00175E6D" w:rsidRPr="006552E9" w:rsidRDefault="00175E6D" w:rsidP="002E460F">
            <w:pPr>
              <w:spacing w:before="0"/>
              <w:jc w:val="right"/>
              <w:rPr>
                <w:rFonts w:cs="Arial"/>
                <w:b/>
                <w:bCs/>
                <w:sz w:val="20"/>
                <w:szCs w:val="20"/>
              </w:rPr>
            </w:pPr>
            <w:r w:rsidRPr="006552E9">
              <w:rPr>
                <w:rFonts w:cs="Arial"/>
                <w:b/>
                <w:bCs/>
                <w:sz w:val="20"/>
                <w:szCs w:val="20"/>
              </w:rPr>
              <w:t xml:space="preserve"> 48,</w:t>
            </w:r>
            <w:r w:rsidR="002E460F">
              <w:rPr>
                <w:rFonts w:cs="Arial"/>
                <w:b/>
                <w:bCs/>
                <w:sz w:val="20"/>
                <w:szCs w:val="20"/>
              </w:rPr>
              <w:t>403</w:t>
            </w:r>
            <w:r w:rsidRPr="006552E9">
              <w:rPr>
                <w:rFonts w:cs="Arial"/>
                <w:b/>
                <w:bCs/>
                <w:sz w:val="20"/>
                <w:szCs w:val="20"/>
              </w:rPr>
              <w:t xml:space="preserve"> </w:t>
            </w:r>
          </w:p>
        </w:tc>
        <w:tc>
          <w:tcPr>
            <w:tcW w:w="1177" w:type="dxa"/>
            <w:tcBorders>
              <w:top w:val="single" w:sz="4" w:space="0" w:color="auto"/>
              <w:left w:val="nil"/>
              <w:bottom w:val="single" w:sz="4" w:space="0" w:color="auto"/>
              <w:right w:val="nil"/>
            </w:tcBorders>
            <w:shd w:val="clear" w:color="auto" w:fill="auto"/>
            <w:noWrap/>
            <w:hideMark/>
          </w:tcPr>
          <w:p w:rsidR="00175E6D" w:rsidRPr="006552E9" w:rsidRDefault="00175E6D" w:rsidP="00175E6D">
            <w:pPr>
              <w:spacing w:before="0"/>
              <w:jc w:val="right"/>
              <w:rPr>
                <w:rFonts w:cs="Arial"/>
                <w:b/>
                <w:bCs/>
                <w:sz w:val="20"/>
                <w:szCs w:val="20"/>
              </w:rPr>
            </w:pPr>
            <w:r w:rsidRPr="006552E9">
              <w:rPr>
                <w:rFonts w:cs="Arial"/>
                <w:b/>
                <w:bCs/>
                <w:sz w:val="20"/>
                <w:szCs w:val="20"/>
              </w:rPr>
              <w:t>44,187</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EXPENDITURE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38,235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Funding, capability building and advocacy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10</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38,575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38,529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4,446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Personnel expenses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6</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4,453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4,546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550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Depreciation and amortisation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7</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391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440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2,605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Other expenses </w:t>
            </w:r>
          </w:p>
        </w:tc>
        <w:tc>
          <w:tcPr>
            <w:tcW w:w="851" w:type="dxa"/>
            <w:tcBorders>
              <w:top w:val="nil"/>
              <w:left w:val="nil"/>
              <w:bottom w:val="nil"/>
              <w:right w:val="nil"/>
            </w:tcBorders>
            <w:shd w:val="clear" w:color="auto" w:fill="auto"/>
            <w:noWrap/>
            <w:hideMark/>
          </w:tcPr>
          <w:p w:rsidR="00175E6D" w:rsidRPr="006552E9" w:rsidRDefault="00175E6D" w:rsidP="00175E6D">
            <w:pPr>
              <w:spacing w:before="0"/>
              <w:jc w:val="center"/>
              <w:rPr>
                <w:rFonts w:cs="Arial"/>
                <w:sz w:val="20"/>
                <w:szCs w:val="20"/>
              </w:rPr>
            </w:pPr>
            <w:r w:rsidRPr="006552E9">
              <w:rPr>
                <w:rFonts w:cs="Arial"/>
                <w:sz w:val="20"/>
                <w:szCs w:val="20"/>
              </w:rPr>
              <w:t>8</w:t>
            </w: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2,420 </w:t>
            </w: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sz w:val="20"/>
                <w:szCs w:val="20"/>
              </w:rPr>
            </w:pPr>
            <w:r w:rsidRPr="006552E9">
              <w:rPr>
                <w:rFonts w:cs="Arial"/>
                <w:sz w:val="20"/>
                <w:szCs w:val="20"/>
              </w:rPr>
              <w:t xml:space="preserve"> 3,852 </w:t>
            </w:r>
          </w:p>
        </w:tc>
      </w:tr>
      <w:tr w:rsidR="00175E6D" w:rsidRPr="006552E9" w:rsidTr="00175E6D">
        <w:trPr>
          <w:trHeight w:val="255"/>
        </w:trPr>
        <w:tc>
          <w:tcPr>
            <w:tcW w:w="1158"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45,836 </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EXPENDITURE </w:t>
            </w: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1197" w:type="dxa"/>
            <w:tcBorders>
              <w:top w:val="single" w:sz="4" w:space="0" w:color="auto"/>
              <w:left w:val="nil"/>
              <w:bottom w:val="single" w:sz="4" w:space="0" w:color="auto"/>
              <w:right w:val="nil"/>
            </w:tcBorders>
            <w:shd w:val="clear" w:color="auto" w:fill="auto"/>
            <w:noWrap/>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45,839 </w:t>
            </w:r>
          </w:p>
        </w:tc>
        <w:tc>
          <w:tcPr>
            <w:tcW w:w="1177" w:type="dxa"/>
            <w:tcBorders>
              <w:top w:val="single" w:sz="4" w:space="0" w:color="auto"/>
              <w:left w:val="nil"/>
              <w:bottom w:val="single" w:sz="4" w:space="0" w:color="auto"/>
              <w:right w:val="nil"/>
            </w:tcBorders>
            <w:shd w:val="clear" w:color="auto" w:fill="auto"/>
            <w:noWrap/>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47,367 </w:t>
            </w:r>
          </w:p>
        </w:tc>
      </w:tr>
      <w:tr w:rsidR="00175E6D" w:rsidRPr="006552E9" w:rsidTr="00175E6D">
        <w:trPr>
          <w:trHeight w:val="255"/>
        </w:trPr>
        <w:tc>
          <w:tcPr>
            <w:tcW w:w="1158"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sz w:val="20"/>
                <w:szCs w:val="20"/>
              </w:rPr>
            </w:pPr>
          </w:p>
        </w:tc>
        <w:tc>
          <w:tcPr>
            <w:tcW w:w="119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b/>
                <w:bCs/>
                <w:sz w:val="20"/>
                <w:szCs w:val="20"/>
              </w:rPr>
            </w:pPr>
          </w:p>
        </w:tc>
        <w:tc>
          <w:tcPr>
            <w:tcW w:w="1177" w:type="dxa"/>
            <w:tcBorders>
              <w:top w:val="nil"/>
              <w:left w:val="nil"/>
              <w:bottom w:val="nil"/>
              <w:right w:val="nil"/>
            </w:tcBorders>
            <w:shd w:val="clear" w:color="auto" w:fill="auto"/>
            <w:noWrap/>
            <w:hideMark/>
          </w:tcPr>
          <w:p w:rsidR="00175E6D" w:rsidRPr="006552E9" w:rsidRDefault="00175E6D" w:rsidP="00175E6D">
            <w:pPr>
              <w:spacing w:before="0"/>
              <w:jc w:val="right"/>
              <w:rPr>
                <w:rFonts w:cs="Arial"/>
                <w:b/>
                <w:bCs/>
                <w:sz w:val="20"/>
                <w:szCs w:val="20"/>
              </w:rPr>
            </w:pPr>
          </w:p>
        </w:tc>
      </w:tr>
      <w:tr w:rsidR="00175E6D" w:rsidRPr="006552E9" w:rsidTr="00175E6D">
        <w:trPr>
          <w:trHeight w:val="255"/>
        </w:trPr>
        <w:tc>
          <w:tcPr>
            <w:tcW w:w="1158"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(1,608)</w:t>
            </w:r>
          </w:p>
        </w:tc>
        <w:tc>
          <w:tcPr>
            <w:tcW w:w="4669"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NET OPERATING SURPLUS</w:t>
            </w:r>
            <w:r w:rsidR="000B4830">
              <w:rPr>
                <w:rFonts w:cs="Arial"/>
                <w:b/>
                <w:bCs/>
                <w:sz w:val="20"/>
                <w:szCs w:val="20"/>
              </w:rPr>
              <w:t>/</w:t>
            </w:r>
            <w:r w:rsidRPr="006552E9">
              <w:rPr>
                <w:rFonts w:cs="Arial"/>
                <w:b/>
                <w:bCs/>
                <w:sz w:val="20"/>
                <w:szCs w:val="20"/>
              </w:rPr>
              <w:t xml:space="preserve">(DEFICIT) </w:t>
            </w:r>
          </w:p>
        </w:tc>
        <w:tc>
          <w:tcPr>
            <w:tcW w:w="851" w:type="dxa"/>
            <w:tcBorders>
              <w:top w:val="nil"/>
              <w:left w:val="nil"/>
              <w:bottom w:val="nil"/>
              <w:right w:val="nil"/>
            </w:tcBorders>
            <w:shd w:val="clear" w:color="auto" w:fill="auto"/>
            <w:noWrap/>
            <w:vAlign w:val="bottom"/>
            <w:hideMark/>
          </w:tcPr>
          <w:p w:rsidR="00175E6D" w:rsidRPr="006552E9" w:rsidRDefault="00175E6D" w:rsidP="00175E6D">
            <w:pPr>
              <w:spacing w:before="0"/>
              <w:jc w:val="center"/>
              <w:rPr>
                <w:rFonts w:cs="Arial"/>
                <w:sz w:val="20"/>
                <w:szCs w:val="20"/>
              </w:rPr>
            </w:pPr>
          </w:p>
        </w:tc>
        <w:tc>
          <w:tcPr>
            <w:tcW w:w="1197" w:type="dxa"/>
            <w:tcBorders>
              <w:top w:val="nil"/>
              <w:left w:val="nil"/>
              <w:bottom w:val="single" w:sz="4" w:space="0" w:color="auto"/>
              <w:right w:val="nil"/>
            </w:tcBorders>
            <w:shd w:val="clear" w:color="auto" w:fill="auto"/>
            <w:noWrap/>
            <w:hideMark/>
          </w:tcPr>
          <w:p w:rsidR="00175E6D" w:rsidRPr="006552E9" w:rsidRDefault="00175E6D" w:rsidP="002E460F">
            <w:pPr>
              <w:spacing w:before="0"/>
              <w:jc w:val="right"/>
              <w:rPr>
                <w:rFonts w:cs="Arial"/>
                <w:b/>
                <w:bCs/>
                <w:sz w:val="20"/>
                <w:szCs w:val="20"/>
              </w:rPr>
            </w:pPr>
            <w:r w:rsidRPr="006552E9">
              <w:rPr>
                <w:rFonts w:cs="Arial"/>
                <w:b/>
                <w:bCs/>
                <w:sz w:val="20"/>
                <w:szCs w:val="20"/>
              </w:rPr>
              <w:t xml:space="preserve"> 2,</w:t>
            </w:r>
            <w:r w:rsidR="002E460F">
              <w:rPr>
                <w:rFonts w:cs="Arial"/>
                <w:b/>
                <w:bCs/>
                <w:sz w:val="20"/>
                <w:szCs w:val="20"/>
              </w:rPr>
              <w:t>564</w:t>
            </w:r>
            <w:r w:rsidRPr="006552E9">
              <w:rPr>
                <w:rFonts w:cs="Arial"/>
                <w:b/>
                <w:bCs/>
                <w:sz w:val="20"/>
                <w:szCs w:val="20"/>
              </w:rPr>
              <w:t xml:space="preserve"> </w:t>
            </w:r>
          </w:p>
        </w:tc>
        <w:tc>
          <w:tcPr>
            <w:tcW w:w="1177" w:type="dxa"/>
            <w:tcBorders>
              <w:top w:val="nil"/>
              <w:left w:val="nil"/>
              <w:bottom w:val="single" w:sz="4" w:space="0" w:color="auto"/>
              <w:right w:val="nil"/>
            </w:tcBorders>
            <w:shd w:val="clear" w:color="auto" w:fill="auto"/>
            <w:noWrap/>
            <w:hideMark/>
          </w:tcPr>
          <w:p w:rsidR="00175E6D" w:rsidRPr="006552E9" w:rsidRDefault="00175E6D" w:rsidP="00175E6D">
            <w:pPr>
              <w:spacing w:before="0"/>
              <w:jc w:val="right"/>
              <w:rPr>
                <w:rFonts w:cs="Arial"/>
                <w:b/>
                <w:bCs/>
                <w:sz w:val="20"/>
                <w:szCs w:val="20"/>
              </w:rPr>
            </w:pPr>
            <w:r w:rsidRPr="006552E9">
              <w:rPr>
                <w:rFonts w:cs="Arial"/>
                <w:b/>
                <w:bCs/>
                <w:sz w:val="20"/>
                <w:szCs w:val="20"/>
              </w:rPr>
              <w:t xml:space="preserve"> (3,180)</w:t>
            </w:r>
          </w:p>
        </w:tc>
      </w:tr>
    </w:tbl>
    <w:p w:rsidR="00173C0E" w:rsidRPr="006552E9" w:rsidRDefault="00173C0E" w:rsidP="00173C0E"/>
    <w:p w:rsidR="00173C0E" w:rsidRPr="006552E9" w:rsidRDefault="00173C0E" w:rsidP="00173C0E">
      <w:r w:rsidRPr="006552E9">
        <w:rPr>
          <w:i/>
        </w:rPr>
        <w:t>The accompanying accounting policies and notes form an integral part of these financial statements.</w:t>
      </w:r>
    </w:p>
    <w:p w:rsidR="00173C0E" w:rsidRPr="006552E9" w:rsidRDefault="00173C0E">
      <w:pPr>
        <w:spacing w:before="0"/>
        <w:jc w:val="left"/>
      </w:pPr>
      <w:r w:rsidRPr="006552E9">
        <w:br w:type="page"/>
      </w:r>
    </w:p>
    <w:p w:rsidR="00173C0E" w:rsidRPr="006552E9" w:rsidRDefault="00173C0E" w:rsidP="00173C0E">
      <w:pPr>
        <w:pStyle w:val="Heading2"/>
      </w:pPr>
      <w:bookmarkStart w:id="83" w:name="_Toc339551245"/>
      <w:bookmarkStart w:id="84" w:name="_Toc373415052"/>
      <w:r w:rsidRPr="006552E9">
        <w:t xml:space="preserve">Statement of </w:t>
      </w:r>
      <w:r w:rsidR="0098014C" w:rsidRPr="006552E9">
        <w:t>comprehensive income</w:t>
      </w:r>
      <w:bookmarkEnd w:id="83"/>
      <w:bookmarkEnd w:id="84"/>
      <w:r w:rsidR="0098014C" w:rsidRPr="006552E9">
        <w:t xml:space="preserve"> </w:t>
      </w:r>
    </w:p>
    <w:p w:rsidR="00173C0E" w:rsidRPr="006552E9" w:rsidRDefault="00173C0E" w:rsidP="00173C0E">
      <w:r w:rsidRPr="006552E9">
        <w:t>For the year ended 30 June 2013</w:t>
      </w:r>
    </w:p>
    <w:tbl>
      <w:tblPr>
        <w:tblW w:w="8992" w:type="dxa"/>
        <w:tblInd w:w="93" w:type="dxa"/>
        <w:tblLook w:val="04A0" w:firstRow="1" w:lastRow="0" w:firstColumn="1" w:lastColumn="0" w:noHBand="0" w:noVBand="1"/>
      </w:tblPr>
      <w:tblGrid>
        <w:gridCol w:w="1120"/>
        <w:gridCol w:w="4800"/>
        <w:gridCol w:w="772"/>
        <w:gridCol w:w="1180"/>
        <w:gridCol w:w="1120"/>
      </w:tblGrid>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BUDGET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r w:rsidRPr="006552E9">
              <w:rPr>
                <w:rFonts w:cs="Arial"/>
                <w:b/>
                <w:bCs/>
                <w:sz w:val="20"/>
                <w:szCs w:val="20"/>
              </w:rPr>
              <w:t>NOTE</w:t>
            </w: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2012 </w:t>
            </w:r>
          </w:p>
        </w:tc>
      </w:tr>
      <w:tr w:rsidR="00175E6D" w:rsidRPr="006552E9" w:rsidTr="00B92E81">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4800"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w:t>
            </w:r>
          </w:p>
        </w:tc>
        <w:tc>
          <w:tcPr>
            <w:tcW w:w="772"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18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(1,608)</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Net operating surplus</w:t>
            </w:r>
            <w:r w:rsidR="000B4830">
              <w:rPr>
                <w:rFonts w:cs="Arial"/>
                <w:b/>
                <w:bCs/>
                <w:sz w:val="20"/>
                <w:szCs w:val="20"/>
              </w:rPr>
              <w:t>/</w:t>
            </w:r>
            <w:r w:rsidRPr="006552E9">
              <w:rPr>
                <w:rFonts w:cs="Arial"/>
                <w:b/>
                <w:bCs/>
                <w:sz w:val="20"/>
                <w:szCs w:val="20"/>
              </w:rPr>
              <w:t xml:space="preserve">(deficit) for the year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b/>
                <w:bCs/>
                <w:sz w:val="20"/>
                <w:szCs w:val="20"/>
              </w:rPr>
            </w:pPr>
            <w:r w:rsidRPr="006552E9">
              <w:rPr>
                <w:rFonts w:cs="Arial"/>
                <w:b/>
                <w:bCs/>
                <w:sz w:val="20"/>
                <w:szCs w:val="20"/>
              </w:rPr>
              <w:t xml:space="preserve"> 2,</w:t>
            </w:r>
            <w:r w:rsidR="002E460F">
              <w:rPr>
                <w:rFonts w:cs="Arial"/>
                <w:b/>
                <w:bCs/>
                <w:sz w:val="20"/>
                <w:szCs w:val="20"/>
              </w:rPr>
              <w:t>564</w:t>
            </w:r>
            <w:r w:rsidRPr="006552E9">
              <w:rPr>
                <w:rFonts w:cs="Arial"/>
                <w:b/>
                <w:bCs/>
                <w:sz w:val="20"/>
                <w:szCs w:val="20"/>
              </w:rPr>
              <w:t xml:space="preserve">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(3,180)</w:t>
            </w: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Other comprehensive income</w:t>
            </w:r>
            <w:r w:rsidR="000B4830">
              <w:rPr>
                <w:rFonts w:cs="Arial"/>
                <w:b/>
                <w:bCs/>
                <w:sz w:val="20"/>
                <w:szCs w:val="20"/>
              </w:rPr>
              <w:t>/</w:t>
            </w:r>
            <w:r w:rsidRPr="006552E9">
              <w:rPr>
                <w:rFonts w:cs="Arial"/>
                <w:b/>
                <w:bCs/>
                <w:sz w:val="20"/>
                <w:szCs w:val="20"/>
              </w:rPr>
              <w:t xml:space="preserve">(loss)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sz w:val="20"/>
                <w:szCs w:val="20"/>
              </w:rPr>
            </w:pPr>
            <w:r>
              <w:rPr>
                <w:rFonts w:cs="Arial"/>
                <w:sz w:val="20"/>
                <w:szCs w:val="20"/>
              </w:rPr>
              <w:t xml:space="preserve"> </w:t>
            </w:r>
            <w:r w:rsidR="00877D63">
              <w:rPr>
                <w:rFonts w:cs="Arial"/>
                <w:sz w:val="20"/>
                <w:szCs w:val="20"/>
              </w:rPr>
              <w:t>–</w:t>
            </w:r>
            <w:r w:rsidR="00175E6D" w:rsidRPr="006552E9">
              <w:rPr>
                <w:rFonts w:cs="Arial"/>
                <w:sz w:val="20"/>
                <w:szCs w:val="20"/>
              </w:rPr>
              <w:t xml:space="preserve">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Revaluation of land and buildings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14</w:t>
            </w:r>
          </w:p>
        </w:tc>
        <w:tc>
          <w:tcPr>
            <w:tcW w:w="1180"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sz w:val="20"/>
                <w:szCs w:val="20"/>
              </w:rPr>
            </w:pPr>
            <w:r w:rsidRPr="006552E9">
              <w:rPr>
                <w:rFonts w:cs="Arial"/>
                <w:sz w:val="20"/>
                <w:szCs w:val="20"/>
              </w:rPr>
              <w:t xml:space="preserve"> </w:t>
            </w:r>
            <w:r w:rsidR="002E460F">
              <w:rPr>
                <w:rFonts w:cs="Arial"/>
                <w:sz w:val="20"/>
                <w:szCs w:val="20"/>
              </w:rPr>
              <w:t>274</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(1,010)</w:t>
            </w:r>
          </w:p>
        </w:tc>
      </w:tr>
      <w:tr w:rsidR="00175E6D" w:rsidRPr="006552E9" w:rsidTr="00B92E81">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C02722" w:rsidP="00B92E81">
            <w:pPr>
              <w:spacing w:before="0"/>
              <w:jc w:val="right"/>
              <w:rPr>
                <w:rFonts w:cs="Arial"/>
                <w:sz w:val="20"/>
                <w:szCs w:val="20"/>
              </w:rPr>
            </w:pPr>
            <w:r>
              <w:rPr>
                <w:rFonts w:cs="Arial"/>
                <w:sz w:val="20"/>
                <w:szCs w:val="20"/>
              </w:rPr>
              <w:t xml:space="preserve"> </w:t>
            </w:r>
            <w:r w:rsidR="00877D63">
              <w:rPr>
                <w:rFonts w:cs="Arial"/>
                <w:sz w:val="20"/>
                <w:szCs w:val="20"/>
              </w:rPr>
              <w:t>–</w:t>
            </w:r>
            <w:r w:rsidR="00175E6D" w:rsidRPr="006552E9">
              <w:rPr>
                <w:rFonts w:cs="Arial"/>
                <w:sz w:val="20"/>
                <w:szCs w:val="20"/>
              </w:rPr>
              <w:t xml:space="preserve">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Revaluation of works of art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15</w:t>
            </w:r>
          </w:p>
        </w:tc>
        <w:tc>
          <w:tcPr>
            <w:tcW w:w="118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17 </w:t>
            </w:r>
          </w:p>
        </w:tc>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(48)</w:t>
            </w:r>
          </w:p>
        </w:tc>
      </w:tr>
      <w:tr w:rsidR="00175E6D" w:rsidRPr="006552E9" w:rsidTr="00B92E81">
        <w:trPr>
          <w:trHeight w:val="255"/>
        </w:trPr>
        <w:tc>
          <w:tcPr>
            <w:tcW w:w="1120"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b/>
                <w:bCs/>
                <w:sz w:val="20"/>
                <w:szCs w:val="20"/>
              </w:rPr>
            </w:pPr>
            <w:r>
              <w:rPr>
                <w:rFonts w:cs="Arial"/>
                <w:b/>
                <w:bCs/>
                <w:sz w:val="20"/>
                <w:szCs w:val="20"/>
              </w:rPr>
              <w:t xml:space="preserve"> </w:t>
            </w:r>
            <w:r w:rsidR="00877D63">
              <w:rPr>
                <w:rFonts w:cs="Arial"/>
                <w:b/>
                <w:bCs/>
                <w:sz w:val="20"/>
                <w:szCs w:val="20"/>
              </w:rPr>
              <w:t>–</w:t>
            </w:r>
            <w:r w:rsidR="00175E6D" w:rsidRPr="006552E9">
              <w:rPr>
                <w:rFonts w:cs="Arial"/>
                <w:b/>
                <w:bCs/>
                <w:sz w:val="20"/>
                <w:szCs w:val="20"/>
              </w:rPr>
              <w:t xml:space="preserve">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other comprehensive income</w:t>
            </w:r>
            <w:r w:rsidR="000B4830">
              <w:rPr>
                <w:rFonts w:cs="Arial"/>
                <w:b/>
                <w:bCs/>
                <w:sz w:val="20"/>
                <w:szCs w:val="20"/>
              </w:rPr>
              <w:t>/</w:t>
            </w:r>
            <w:r w:rsidRPr="006552E9">
              <w:rPr>
                <w:rFonts w:cs="Arial"/>
                <w:b/>
                <w:bCs/>
                <w:sz w:val="20"/>
                <w:szCs w:val="20"/>
              </w:rPr>
              <w:t xml:space="preserve">(loss)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b/>
                <w:bCs/>
                <w:sz w:val="20"/>
                <w:szCs w:val="20"/>
              </w:rPr>
            </w:pPr>
            <w:r w:rsidRPr="006552E9">
              <w:rPr>
                <w:rFonts w:cs="Arial"/>
                <w:b/>
                <w:bCs/>
                <w:sz w:val="20"/>
                <w:szCs w:val="20"/>
              </w:rPr>
              <w:t xml:space="preserve"> </w:t>
            </w:r>
            <w:r w:rsidR="002E460F">
              <w:rPr>
                <w:rFonts w:cs="Arial"/>
                <w:b/>
                <w:bCs/>
                <w:sz w:val="20"/>
                <w:szCs w:val="20"/>
              </w:rPr>
              <w:t>291</w:t>
            </w:r>
            <w:r w:rsidRPr="006552E9">
              <w:rPr>
                <w:rFonts w:cs="Arial"/>
                <w:b/>
                <w:bCs/>
                <w:sz w:val="20"/>
                <w:szCs w:val="20"/>
              </w:rPr>
              <w:t xml:space="preserve">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(1,058)</w:t>
            </w:r>
          </w:p>
        </w:tc>
      </w:tr>
      <w:tr w:rsidR="00175E6D" w:rsidRPr="006552E9" w:rsidTr="00B92E81">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(1,608)</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COMPREHENSIVE INCOME</w:t>
            </w:r>
            <w:r w:rsidR="000B4830">
              <w:rPr>
                <w:rFonts w:cs="Arial"/>
                <w:b/>
                <w:bCs/>
                <w:sz w:val="20"/>
                <w:szCs w:val="20"/>
              </w:rPr>
              <w:t>/</w:t>
            </w:r>
            <w:r w:rsidRPr="006552E9">
              <w:rPr>
                <w:rFonts w:cs="Arial"/>
                <w:b/>
                <w:bCs/>
                <w:sz w:val="20"/>
                <w:szCs w:val="20"/>
              </w:rPr>
              <w:t xml:space="preserve">(LOSS) </w:t>
            </w:r>
          </w:p>
        </w:tc>
        <w:tc>
          <w:tcPr>
            <w:tcW w:w="772"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2,855 </w:t>
            </w:r>
          </w:p>
        </w:tc>
        <w:tc>
          <w:tcPr>
            <w:tcW w:w="1120"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(4,238)</w:t>
            </w:r>
          </w:p>
        </w:tc>
      </w:tr>
    </w:tbl>
    <w:p w:rsidR="00B92E81" w:rsidRPr="006552E9" w:rsidRDefault="00B92E81" w:rsidP="00B92E81">
      <w:bookmarkStart w:id="85" w:name="_Toc339551246"/>
    </w:p>
    <w:p w:rsidR="00173C0E" w:rsidRPr="006552E9" w:rsidRDefault="00173C0E" w:rsidP="00173C0E">
      <w:pPr>
        <w:pStyle w:val="Heading2"/>
      </w:pPr>
      <w:bookmarkStart w:id="86" w:name="_Toc373415053"/>
      <w:r w:rsidRPr="006552E9">
        <w:t xml:space="preserve">Statement of </w:t>
      </w:r>
      <w:r w:rsidR="0098014C" w:rsidRPr="006552E9">
        <w:t>changes in equity</w:t>
      </w:r>
      <w:bookmarkEnd w:id="85"/>
      <w:bookmarkEnd w:id="86"/>
    </w:p>
    <w:p w:rsidR="00173C0E" w:rsidRPr="006552E9" w:rsidRDefault="00173C0E" w:rsidP="00173C0E">
      <w:r w:rsidRPr="006552E9">
        <w:t>For the year ended 30 June 2013</w:t>
      </w:r>
    </w:p>
    <w:tbl>
      <w:tblPr>
        <w:tblW w:w="8980" w:type="dxa"/>
        <w:tblInd w:w="93" w:type="dxa"/>
        <w:tblLook w:val="04A0" w:firstRow="1" w:lastRow="0" w:firstColumn="1" w:lastColumn="0" w:noHBand="0" w:noVBand="1"/>
      </w:tblPr>
      <w:tblGrid>
        <w:gridCol w:w="1120"/>
        <w:gridCol w:w="4800"/>
        <w:gridCol w:w="772"/>
        <w:gridCol w:w="1180"/>
        <w:gridCol w:w="1120"/>
      </w:tblGrid>
      <w:tr w:rsidR="00175E6D" w:rsidRPr="006552E9" w:rsidTr="00175E6D">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BUDGET</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r>
      <w:tr w:rsidR="00175E6D" w:rsidRPr="006552E9" w:rsidTr="00175E6D">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r w:rsidRPr="006552E9">
              <w:rPr>
                <w:rFonts w:cs="Arial"/>
                <w:b/>
                <w:bCs/>
                <w:sz w:val="20"/>
                <w:szCs w:val="20"/>
              </w:rPr>
              <w:t>NOTE</w:t>
            </w: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2012 </w:t>
            </w:r>
          </w:p>
        </w:tc>
      </w:tr>
      <w:tr w:rsidR="00175E6D" w:rsidRPr="006552E9" w:rsidTr="00175E6D">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4800"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w:t>
            </w:r>
          </w:p>
        </w:tc>
        <w:tc>
          <w:tcPr>
            <w:tcW w:w="76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18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r>
      <w:tr w:rsidR="00175E6D" w:rsidRPr="006552E9" w:rsidTr="00175E6D">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175E6D">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11,068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equity as at 1 July </w:t>
            </w: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9,565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13,803 </w:t>
            </w:r>
          </w:p>
        </w:tc>
      </w:tr>
      <w:tr w:rsidR="00175E6D" w:rsidRPr="006552E9" w:rsidTr="00175E6D">
        <w:trPr>
          <w:trHeight w:val="255"/>
        </w:trPr>
        <w:tc>
          <w:tcPr>
            <w:tcW w:w="112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p>
        </w:tc>
        <w:tc>
          <w:tcPr>
            <w:tcW w:w="112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p>
        </w:tc>
      </w:tr>
      <w:tr w:rsidR="00175E6D" w:rsidRPr="006552E9" w:rsidTr="00175E6D">
        <w:trPr>
          <w:trHeight w:val="255"/>
        </w:trPr>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(1,608)</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Net operating surplus/(deficit) for the year </w:t>
            </w: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sz w:val="20"/>
                <w:szCs w:val="20"/>
              </w:rPr>
            </w:pPr>
            <w:r w:rsidRPr="006552E9">
              <w:rPr>
                <w:rFonts w:cs="Arial"/>
                <w:sz w:val="20"/>
                <w:szCs w:val="20"/>
              </w:rPr>
              <w:t xml:space="preserve"> 2</w:t>
            </w:r>
            <w:r w:rsidR="002E460F">
              <w:rPr>
                <w:rFonts w:cs="Arial"/>
                <w:sz w:val="20"/>
                <w:szCs w:val="20"/>
              </w:rPr>
              <w:t>,564</w:t>
            </w:r>
            <w:r w:rsidRPr="006552E9">
              <w:rPr>
                <w:rFonts w:cs="Arial"/>
                <w:sz w:val="20"/>
                <w:szCs w:val="20"/>
              </w:rPr>
              <w:t xml:space="preserve"> </w:t>
            </w:r>
          </w:p>
        </w:tc>
        <w:tc>
          <w:tcPr>
            <w:tcW w:w="1120"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(3,180)</w:t>
            </w:r>
          </w:p>
        </w:tc>
      </w:tr>
      <w:tr w:rsidR="00175E6D" w:rsidRPr="006552E9" w:rsidTr="00175E6D">
        <w:trPr>
          <w:trHeight w:val="255"/>
        </w:trPr>
        <w:tc>
          <w:tcPr>
            <w:tcW w:w="1120" w:type="dxa"/>
            <w:tcBorders>
              <w:top w:val="nil"/>
              <w:left w:val="nil"/>
              <w:bottom w:val="single" w:sz="4" w:space="0" w:color="auto"/>
              <w:right w:val="nil"/>
            </w:tcBorders>
            <w:shd w:val="clear" w:color="auto" w:fill="auto"/>
            <w:noWrap/>
            <w:vAlign w:val="bottom"/>
            <w:hideMark/>
          </w:tcPr>
          <w:p w:rsidR="00175E6D" w:rsidRPr="006552E9" w:rsidRDefault="00C02722" w:rsidP="00B92E81">
            <w:pPr>
              <w:spacing w:before="0"/>
              <w:jc w:val="right"/>
              <w:rPr>
                <w:rFonts w:cs="Arial"/>
                <w:sz w:val="20"/>
                <w:szCs w:val="20"/>
              </w:rPr>
            </w:pPr>
            <w:r>
              <w:rPr>
                <w:rFonts w:cs="Arial"/>
                <w:sz w:val="20"/>
                <w:szCs w:val="20"/>
              </w:rPr>
              <w:t xml:space="preserve"> </w:t>
            </w:r>
            <w:r w:rsidR="00877D63">
              <w:rPr>
                <w:rFonts w:cs="Arial"/>
                <w:sz w:val="20"/>
                <w:szCs w:val="20"/>
              </w:rPr>
              <w:t>–</w:t>
            </w:r>
            <w:r w:rsidR="00175E6D" w:rsidRPr="006552E9">
              <w:rPr>
                <w:rFonts w:cs="Arial"/>
                <w:sz w:val="20"/>
                <w:szCs w:val="20"/>
              </w:rPr>
              <w:t xml:space="preserve">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Other comprehensive income</w:t>
            </w:r>
            <w:r w:rsidR="000B4830">
              <w:rPr>
                <w:rFonts w:cs="Arial"/>
                <w:sz w:val="20"/>
                <w:szCs w:val="20"/>
              </w:rPr>
              <w:t>/</w:t>
            </w:r>
            <w:r w:rsidRPr="006552E9">
              <w:rPr>
                <w:rFonts w:cs="Arial"/>
                <w:sz w:val="20"/>
                <w:szCs w:val="20"/>
              </w:rPr>
              <w:t xml:space="preserve">(loss) </w:t>
            </w: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175E6D" w:rsidRPr="006552E9" w:rsidRDefault="00175E6D" w:rsidP="002E460F">
            <w:pPr>
              <w:spacing w:before="0"/>
              <w:jc w:val="right"/>
              <w:rPr>
                <w:rFonts w:cs="Arial"/>
                <w:sz w:val="20"/>
                <w:szCs w:val="20"/>
              </w:rPr>
            </w:pPr>
            <w:r w:rsidRPr="006552E9">
              <w:rPr>
                <w:rFonts w:cs="Arial"/>
                <w:sz w:val="20"/>
                <w:szCs w:val="20"/>
              </w:rPr>
              <w:t xml:space="preserve"> </w:t>
            </w:r>
            <w:r w:rsidR="002E460F">
              <w:rPr>
                <w:rFonts w:cs="Arial"/>
                <w:sz w:val="20"/>
                <w:szCs w:val="20"/>
              </w:rPr>
              <w:t>291</w:t>
            </w:r>
            <w:r w:rsidRPr="006552E9">
              <w:rPr>
                <w:rFonts w:cs="Arial"/>
                <w:sz w:val="20"/>
                <w:szCs w:val="20"/>
              </w:rPr>
              <w:t xml:space="preserve"> </w:t>
            </w:r>
          </w:p>
        </w:tc>
        <w:tc>
          <w:tcPr>
            <w:tcW w:w="1120"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(1,058)</w:t>
            </w:r>
          </w:p>
        </w:tc>
      </w:tr>
      <w:tr w:rsidR="00175E6D" w:rsidRPr="006552E9" w:rsidTr="00175E6D">
        <w:trPr>
          <w:trHeight w:val="255"/>
        </w:trPr>
        <w:tc>
          <w:tcPr>
            <w:tcW w:w="112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(1,608)</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comprehensive income</w:t>
            </w:r>
            <w:r w:rsidR="000B4830">
              <w:rPr>
                <w:rFonts w:cs="Arial"/>
                <w:b/>
                <w:bCs/>
                <w:sz w:val="20"/>
                <w:szCs w:val="20"/>
              </w:rPr>
              <w:t>/</w:t>
            </w:r>
            <w:r w:rsidRPr="006552E9">
              <w:rPr>
                <w:rFonts w:cs="Arial"/>
                <w:b/>
                <w:bCs/>
                <w:sz w:val="20"/>
                <w:szCs w:val="20"/>
              </w:rPr>
              <w:t xml:space="preserve">(loss) </w:t>
            </w: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2,855 </w:t>
            </w:r>
          </w:p>
        </w:tc>
        <w:tc>
          <w:tcPr>
            <w:tcW w:w="1120" w:type="dxa"/>
            <w:tcBorders>
              <w:top w:val="nil"/>
              <w:left w:val="nil"/>
              <w:bottom w:val="nil"/>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(4,238)</w:t>
            </w:r>
          </w:p>
        </w:tc>
      </w:tr>
      <w:tr w:rsidR="00175E6D" w:rsidRPr="006552E9" w:rsidTr="00175E6D">
        <w:trPr>
          <w:trHeight w:val="255"/>
        </w:trPr>
        <w:tc>
          <w:tcPr>
            <w:tcW w:w="112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sz w:val="20"/>
                <w:szCs w:val="20"/>
              </w:rPr>
            </w:pPr>
            <w:r w:rsidRPr="006552E9">
              <w:rPr>
                <w:rFonts w:cs="Arial"/>
                <w:sz w:val="20"/>
                <w:szCs w:val="20"/>
              </w:rPr>
              <w:t> </w:t>
            </w:r>
          </w:p>
        </w:tc>
        <w:tc>
          <w:tcPr>
            <w:tcW w:w="4800" w:type="dxa"/>
            <w:tcBorders>
              <w:top w:val="nil"/>
              <w:left w:val="nil"/>
              <w:bottom w:val="nil"/>
              <w:right w:val="nil"/>
            </w:tcBorders>
            <w:shd w:val="clear" w:color="auto" w:fill="auto"/>
            <w:hideMark/>
          </w:tcPr>
          <w:p w:rsidR="00175E6D" w:rsidRPr="006552E9" w:rsidRDefault="00175E6D" w:rsidP="00175E6D">
            <w:pPr>
              <w:spacing w:before="0"/>
              <w:jc w:val="left"/>
              <w:rPr>
                <w:rFonts w:cs="Arial"/>
                <w:sz w:val="20"/>
                <w:szCs w:val="20"/>
              </w:rPr>
            </w:pP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18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sz w:val="20"/>
                <w:szCs w:val="20"/>
              </w:rPr>
            </w:pPr>
            <w:r w:rsidRPr="006552E9">
              <w:rPr>
                <w:rFonts w:cs="Arial"/>
                <w:sz w:val="20"/>
                <w:szCs w:val="20"/>
              </w:rPr>
              <w:t> </w:t>
            </w:r>
          </w:p>
        </w:tc>
        <w:tc>
          <w:tcPr>
            <w:tcW w:w="112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sz w:val="20"/>
                <w:szCs w:val="20"/>
              </w:rPr>
            </w:pPr>
            <w:r w:rsidRPr="006552E9">
              <w:rPr>
                <w:rFonts w:cs="Arial"/>
                <w:sz w:val="20"/>
                <w:szCs w:val="20"/>
              </w:rPr>
              <w:t> </w:t>
            </w:r>
          </w:p>
        </w:tc>
      </w:tr>
      <w:tr w:rsidR="00175E6D" w:rsidRPr="006552E9" w:rsidTr="00175E6D">
        <w:trPr>
          <w:trHeight w:val="255"/>
        </w:trPr>
        <w:tc>
          <w:tcPr>
            <w:tcW w:w="112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9,460 </w:t>
            </w:r>
          </w:p>
        </w:tc>
        <w:tc>
          <w:tcPr>
            <w:tcW w:w="4800"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EQUITY AS AT 30 JUNE </w:t>
            </w:r>
          </w:p>
        </w:tc>
        <w:tc>
          <w:tcPr>
            <w:tcW w:w="760"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21</w:t>
            </w:r>
          </w:p>
        </w:tc>
        <w:tc>
          <w:tcPr>
            <w:tcW w:w="118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12,420 </w:t>
            </w:r>
          </w:p>
        </w:tc>
        <w:tc>
          <w:tcPr>
            <w:tcW w:w="1120" w:type="dxa"/>
            <w:tcBorders>
              <w:top w:val="nil"/>
              <w:left w:val="nil"/>
              <w:bottom w:val="single" w:sz="4" w:space="0" w:color="auto"/>
              <w:right w:val="nil"/>
            </w:tcBorders>
            <w:shd w:val="clear" w:color="auto" w:fill="auto"/>
            <w:noWrap/>
            <w:vAlign w:val="center"/>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9,565 </w:t>
            </w:r>
          </w:p>
        </w:tc>
      </w:tr>
    </w:tbl>
    <w:p w:rsidR="00173C0E" w:rsidRPr="006552E9" w:rsidRDefault="00173C0E" w:rsidP="00173C0E"/>
    <w:p w:rsidR="00173C0E" w:rsidRPr="006552E9" w:rsidRDefault="00173C0E" w:rsidP="00173C0E">
      <w:pPr>
        <w:rPr>
          <w:i/>
        </w:rPr>
      </w:pPr>
      <w:r w:rsidRPr="006552E9">
        <w:rPr>
          <w:i/>
        </w:rPr>
        <w:t>The accompanying accounting policies and notes form an integral part of these financial statements.</w:t>
      </w:r>
    </w:p>
    <w:p w:rsidR="00173C0E" w:rsidRPr="006552E9" w:rsidRDefault="00173C0E">
      <w:pPr>
        <w:spacing w:before="0"/>
        <w:jc w:val="left"/>
        <w:rPr>
          <w:b/>
          <w:bCs/>
          <w:iCs/>
          <w:color w:val="365F91"/>
          <w:sz w:val="32"/>
          <w:szCs w:val="28"/>
        </w:rPr>
      </w:pPr>
      <w:bookmarkStart w:id="87" w:name="_Toc339551247"/>
      <w:r w:rsidRPr="006552E9">
        <w:br w:type="page"/>
      </w:r>
    </w:p>
    <w:p w:rsidR="00173C0E" w:rsidRPr="006552E9" w:rsidRDefault="00173C0E" w:rsidP="00173C0E">
      <w:pPr>
        <w:pStyle w:val="Heading2"/>
      </w:pPr>
      <w:bookmarkStart w:id="88" w:name="_Toc373415054"/>
      <w:r w:rsidRPr="006552E9">
        <w:t xml:space="preserve">Statement of </w:t>
      </w:r>
      <w:r w:rsidR="0098014C" w:rsidRPr="006552E9">
        <w:t>financial position</w:t>
      </w:r>
      <w:bookmarkEnd w:id="87"/>
      <w:bookmarkEnd w:id="88"/>
    </w:p>
    <w:p w:rsidR="00173C0E" w:rsidRPr="006552E9" w:rsidRDefault="00173C0E" w:rsidP="00173C0E">
      <w:r w:rsidRPr="006552E9">
        <w:t>As at 30 June 2013</w:t>
      </w:r>
    </w:p>
    <w:tbl>
      <w:tblPr>
        <w:tblW w:w="9087" w:type="dxa"/>
        <w:tblInd w:w="93" w:type="dxa"/>
        <w:tblLook w:val="04A0" w:firstRow="1" w:lastRow="0" w:firstColumn="1" w:lastColumn="0" w:noHBand="0" w:noVBand="1"/>
      </w:tblPr>
      <w:tblGrid>
        <w:gridCol w:w="1149"/>
        <w:gridCol w:w="3828"/>
        <w:gridCol w:w="889"/>
        <w:gridCol w:w="1569"/>
        <w:gridCol w:w="1652"/>
      </w:tblGrid>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BUDGET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ACTUAL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r w:rsidRPr="006552E9">
              <w:rPr>
                <w:rFonts w:cs="Arial"/>
                <w:b/>
                <w:bCs/>
                <w:sz w:val="20"/>
                <w:szCs w:val="20"/>
              </w:rPr>
              <w:t>NOTE</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2013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2012 </w:t>
            </w:r>
          </w:p>
        </w:tc>
      </w:tr>
      <w:tr w:rsidR="00175E6D" w:rsidRPr="006552E9" w:rsidTr="00B92E81">
        <w:trPr>
          <w:trHeight w:val="255"/>
        </w:trPr>
        <w:tc>
          <w:tcPr>
            <w:tcW w:w="1149"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3828" w:type="dxa"/>
            <w:tcBorders>
              <w:top w:val="nil"/>
              <w:left w:val="nil"/>
              <w:bottom w:val="single" w:sz="4" w:space="0" w:color="auto"/>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w:t>
            </w:r>
          </w:p>
        </w:tc>
        <w:tc>
          <w:tcPr>
            <w:tcW w:w="889"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c>
          <w:tcPr>
            <w:tcW w:w="1652" w:type="dxa"/>
            <w:tcBorders>
              <w:top w:val="nil"/>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$000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Current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11,360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Cash and cash equivalents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11</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7,645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12,697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sz w:val="20"/>
                <w:szCs w:val="20"/>
              </w:rPr>
            </w:pPr>
            <w:r>
              <w:rPr>
                <w:rFonts w:cs="Arial"/>
                <w:sz w:val="20"/>
                <w:szCs w:val="20"/>
              </w:rPr>
              <w:t xml:space="preserve"> </w:t>
            </w:r>
            <w:r w:rsidR="00877D63">
              <w:rPr>
                <w:rFonts w:cs="Arial"/>
                <w:sz w:val="20"/>
                <w:szCs w:val="20"/>
              </w:rPr>
              <w:t>–</w:t>
            </w:r>
            <w:r w:rsidR="00175E6D" w:rsidRPr="006552E9">
              <w:rPr>
                <w:rFonts w:cs="Arial"/>
                <w:sz w:val="20"/>
                <w:szCs w:val="20"/>
              </w:rPr>
              <w:t xml:space="preserve">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Investments in term deposits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12</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7,500 </w:t>
            </w:r>
          </w:p>
        </w:tc>
        <w:tc>
          <w:tcPr>
            <w:tcW w:w="1652"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sz w:val="20"/>
                <w:szCs w:val="20"/>
              </w:rPr>
            </w:pPr>
            <w:r>
              <w:rPr>
                <w:rFonts w:cs="Arial"/>
                <w:sz w:val="20"/>
                <w:szCs w:val="20"/>
              </w:rPr>
              <w:t xml:space="preserve"> </w:t>
            </w:r>
            <w:r w:rsidR="00877D63">
              <w:rPr>
                <w:rFonts w:cs="Arial"/>
                <w:sz w:val="20"/>
                <w:szCs w:val="20"/>
              </w:rPr>
              <w:t>–</w:t>
            </w:r>
            <w:r w:rsidR="00175E6D" w:rsidRPr="006552E9">
              <w:rPr>
                <w:rFonts w:cs="Arial"/>
                <w:sz w:val="20"/>
                <w:szCs w:val="20"/>
              </w:rPr>
              <w:t xml:space="preserve">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7,200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Debtors and other receivables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13</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7,297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7,009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200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Prepayments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344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279 </w:t>
            </w:r>
          </w:p>
        </w:tc>
      </w:tr>
      <w:tr w:rsidR="00175E6D" w:rsidRPr="006552E9" w:rsidTr="00B92E81">
        <w:trPr>
          <w:trHeight w:val="255"/>
        </w:trPr>
        <w:tc>
          <w:tcPr>
            <w:tcW w:w="114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18,760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current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22,786 </w:t>
            </w:r>
          </w:p>
        </w:tc>
        <w:tc>
          <w:tcPr>
            <w:tcW w:w="1652"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19,985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Non-current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3,334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Property, plant and equipment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14</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2,401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2,109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1,211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Works of art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15</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1,180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1,163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540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Investment property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16</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380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312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692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Intangible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17</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720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558 </w:t>
            </w:r>
          </w:p>
        </w:tc>
      </w:tr>
      <w:tr w:rsidR="00175E6D" w:rsidRPr="006552E9" w:rsidTr="00B92E81">
        <w:trPr>
          <w:trHeight w:val="255"/>
        </w:trPr>
        <w:tc>
          <w:tcPr>
            <w:tcW w:w="114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5,777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non-current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4,681 </w:t>
            </w:r>
          </w:p>
        </w:tc>
        <w:tc>
          <w:tcPr>
            <w:tcW w:w="1652"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4,142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24,537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27,467 </w:t>
            </w:r>
          </w:p>
        </w:tc>
        <w:tc>
          <w:tcPr>
            <w:tcW w:w="1652"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24,127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Current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1,747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Creditors and other payables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18</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1,449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1,994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320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Employee entitlements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20</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320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344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13,010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Grants payable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13,239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12,193 </w:t>
            </w:r>
          </w:p>
        </w:tc>
      </w:tr>
      <w:tr w:rsidR="00175E6D" w:rsidRPr="006552E9" w:rsidTr="00B92E81">
        <w:trPr>
          <w:trHeight w:val="255"/>
        </w:trPr>
        <w:tc>
          <w:tcPr>
            <w:tcW w:w="114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15,077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current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15,008 </w:t>
            </w:r>
          </w:p>
        </w:tc>
        <w:tc>
          <w:tcPr>
            <w:tcW w:w="1652" w:type="dxa"/>
            <w:tcBorders>
              <w:top w:val="single" w:sz="4" w:space="0" w:color="auto"/>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14,531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Non-current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b/>
                <w:bCs/>
                <w:sz w:val="20"/>
                <w:szCs w:val="20"/>
              </w:rPr>
            </w:pPr>
            <w:r>
              <w:rPr>
                <w:rFonts w:cs="Arial"/>
                <w:b/>
                <w:bCs/>
                <w:sz w:val="20"/>
                <w:szCs w:val="20"/>
              </w:rPr>
              <w:t xml:space="preserve"> </w:t>
            </w:r>
            <w:r w:rsidR="00877D63">
              <w:rPr>
                <w:rFonts w:cs="Arial"/>
                <w:b/>
                <w:bCs/>
                <w:sz w:val="20"/>
                <w:szCs w:val="20"/>
              </w:rPr>
              <w:t>–</w:t>
            </w:r>
            <w:r w:rsidR="00175E6D" w:rsidRPr="006552E9">
              <w:rPr>
                <w:rFonts w:cs="Arial"/>
                <w:b/>
                <w:bCs/>
                <w:sz w:val="20"/>
                <w:szCs w:val="20"/>
              </w:rPr>
              <w:t xml:space="preserve">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Employee entitlements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20</w:t>
            </w: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39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31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C02722" w:rsidP="00B92E81">
            <w:pPr>
              <w:spacing w:before="0"/>
              <w:jc w:val="right"/>
              <w:rPr>
                <w:rFonts w:cs="Arial"/>
                <w:b/>
                <w:bCs/>
                <w:sz w:val="20"/>
                <w:szCs w:val="20"/>
              </w:rPr>
            </w:pPr>
            <w:r>
              <w:rPr>
                <w:rFonts w:cs="Arial"/>
                <w:b/>
                <w:bCs/>
                <w:sz w:val="20"/>
                <w:szCs w:val="20"/>
              </w:rPr>
              <w:t xml:space="preserve"> </w:t>
            </w:r>
            <w:r w:rsidR="00877D63">
              <w:rPr>
                <w:rFonts w:cs="Arial"/>
                <w:b/>
                <w:bCs/>
                <w:sz w:val="20"/>
                <w:szCs w:val="20"/>
              </w:rPr>
              <w:t>–</w:t>
            </w:r>
            <w:r w:rsidR="00175E6D" w:rsidRPr="006552E9">
              <w:rPr>
                <w:rFonts w:cs="Arial"/>
                <w:b/>
                <w:bCs/>
                <w:sz w:val="20"/>
                <w:szCs w:val="20"/>
              </w:rPr>
              <w:t xml:space="preserve">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non-current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39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31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15,077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LIABILITIES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15,047 </w:t>
            </w:r>
          </w:p>
        </w:tc>
        <w:tc>
          <w:tcPr>
            <w:tcW w:w="1652"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14,562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9,460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NET ASSETS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12,420 </w:t>
            </w:r>
          </w:p>
        </w:tc>
        <w:tc>
          <w:tcPr>
            <w:tcW w:w="1652"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9,565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b/>
                <w:bCs/>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i/>
                <w:iCs/>
                <w:sz w:val="20"/>
                <w:szCs w:val="20"/>
              </w:rPr>
            </w:pP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EQUITY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7,250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Accumulated funds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21</w:t>
            </w:r>
          </w:p>
        </w:tc>
        <w:tc>
          <w:tcPr>
            <w:tcW w:w="1569"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sz w:val="20"/>
                <w:szCs w:val="20"/>
              </w:rPr>
            </w:pPr>
            <w:r w:rsidRPr="006552E9">
              <w:rPr>
                <w:rFonts w:cs="Arial"/>
                <w:sz w:val="20"/>
                <w:szCs w:val="20"/>
              </w:rPr>
              <w:t xml:space="preserve"> 10,9</w:t>
            </w:r>
            <w:r w:rsidR="002E460F">
              <w:rPr>
                <w:rFonts w:cs="Arial"/>
                <w:sz w:val="20"/>
                <w:szCs w:val="20"/>
              </w:rPr>
              <w:t>77</w:t>
            </w:r>
            <w:r w:rsidRPr="006552E9">
              <w:rPr>
                <w:rFonts w:cs="Arial"/>
                <w:sz w:val="20"/>
                <w:szCs w:val="20"/>
              </w:rPr>
              <w:t xml:space="preserve">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8,413 </w:t>
            </w:r>
          </w:p>
        </w:tc>
      </w:tr>
      <w:tr w:rsidR="00175E6D" w:rsidRPr="006552E9" w:rsidTr="00B92E81">
        <w:trPr>
          <w:trHeight w:val="255"/>
        </w:trPr>
        <w:tc>
          <w:tcPr>
            <w:tcW w:w="1149"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2,210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sz w:val="20"/>
                <w:szCs w:val="20"/>
              </w:rPr>
            </w:pPr>
            <w:r w:rsidRPr="006552E9">
              <w:rPr>
                <w:rFonts w:cs="Arial"/>
                <w:sz w:val="20"/>
                <w:szCs w:val="20"/>
              </w:rPr>
              <w:t xml:space="preserve"> Revaluation reserves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r w:rsidRPr="006552E9">
              <w:rPr>
                <w:rFonts w:cs="Arial"/>
                <w:sz w:val="20"/>
                <w:szCs w:val="20"/>
              </w:rPr>
              <w:t>21</w:t>
            </w:r>
          </w:p>
        </w:tc>
        <w:tc>
          <w:tcPr>
            <w:tcW w:w="1569" w:type="dxa"/>
            <w:tcBorders>
              <w:top w:val="nil"/>
              <w:left w:val="nil"/>
              <w:bottom w:val="nil"/>
              <w:right w:val="nil"/>
            </w:tcBorders>
            <w:shd w:val="clear" w:color="auto" w:fill="auto"/>
            <w:noWrap/>
            <w:vAlign w:val="bottom"/>
            <w:hideMark/>
          </w:tcPr>
          <w:p w:rsidR="00175E6D" w:rsidRPr="006552E9" w:rsidRDefault="00175E6D" w:rsidP="002E460F">
            <w:pPr>
              <w:spacing w:before="0"/>
              <w:jc w:val="right"/>
              <w:rPr>
                <w:rFonts w:cs="Arial"/>
                <w:sz w:val="20"/>
                <w:szCs w:val="20"/>
              </w:rPr>
            </w:pPr>
            <w:r w:rsidRPr="006552E9">
              <w:rPr>
                <w:rFonts w:cs="Arial"/>
                <w:sz w:val="20"/>
                <w:szCs w:val="20"/>
              </w:rPr>
              <w:t xml:space="preserve"> 1,</w:t>
            </w:r>
            <w:r w:rsidR="002E460F">
              <w:rPr>
                <w:rFonts w:cs="Arial"/>
                <w:sz w:val="20"/>
                <w:szCs w:val="20"/>
              </w:rPr>
              <w:t>443</w:t>
            </w:r>
            <w:r w:rsidRPr="006552E9">
              <w:rPr>
                <w:rFonts w:cs="Arial"/>
                <w:sz w:val="20"/>
                <w:szCs w:val="20"/>
              </w:rPr>
              <w:t xml:space="preserve"> </w:t>
            </w:r>
          </w:p>
        </w:tc>
        <w:tc>
          <w:tcPr>
            <w:tcW w:w="1652" w:type="dxa"/>
            <w:tcBorders>
              <w:top w:val="nil"/>
              <w:left w:val="nil"/>
              <w:bottom w:val="nil"/>
              <w:right w:val="nil"/>
            </w:tcBorders>
            <w:shd w:val="clear" w:color="auto" w:fill="auto"/>
            <w:noWrap/>
            <w:vAlign w:val="bottom"/>
            <w:hideMark/>
          </w:tcPr>
          <w:p w:rsidR="00175E6D" w:rsidRPr="006552E9" w:rsidRDefault="00175E6D" w:rsidP="00B92E81">
            <w:pPr>
              <w:spacing w:before="0"/>
              <w:jc w:val="right"/>
              <w:rPr>
                <w:rFonts w:cs="Arial"/>
                <w:sz w:val="20"/>
                <w:szCs w:val="20"/>
              </w:rPr>
            </w:pPr>
            <w:r w:rsidRPr="006552E9">
              <w:rPr>
                <w:rFonts w:cs="Arial"/>
                <w:sz w:val="20"/>
                <w:szCs w:val="20"/>
              </w:rPr>
              <w:t xml:space="preserve"> 1,152 </w:t>
            </w:r>
          </w:p>
        </w:tc>
      </w:tr>
      <w:tr w:rsidR="00175E6D" w:rsidRPr="006552E9" w:rsidTr="00B92E81">
        <w:trPr>
          <w:trHeight w:val="255"/>
        </w:trPr>
        <w:tc>
          <w:tcPr>
            <w:tcW w:w="114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9,460 </w:t>
            </w:r>
          </w:p>
        </w:tc>
        <w:tc>
          <w:tcPr>
            <w:tcW w:w="3828" w:type="dxa"/>
            <w:tcBorders>
              <w:top w:val="nil"/>
              <w:left w:val="nil"/>
              <w:bottom w:val="nil"/>
              <w:right w:val="nil"/>
            </w:tcBorders>
            <w:shd w:val="clear" w:color="auto" w:fill="auto"/>
            <w:noWrap/>
            <w:vAlign w:val="bottom"/>
            <w:hideMark/>
          </w:tcPr>
          <w:p w:rsidR="00175E6D" w:rsidRPr="006552E9" w:rsidRDefault="00175E6D" w:rsidP="00175E6D">
            <w:pPr>
              <w:spacing w:before="0"/>
              <w:jc w:val="left"/>
              <w:rPr>
                <w:rFonts w:cs="Arial"/>
                <w:b/>
                <w:bCs/>
                <w:sz w:val="20"/>
                <w:szCs w:val="20"/>
              </w:rPr>
            </w:pPr>
            <w:r w:rsidRPr="006552E9">
              <w:rPr>
                <w:rFonts w:cs="Arial"/>
                <w:b/>
                <w:bCs/>
                <w:sz w:val="20"/>
                <w:szCs w:val="20"/>
              </w:rPr>
              <w:t xml:space="preserve"> TOTAL EQUITY </w:t>
            </w:r>
          </w:p>
        </w:tc>
        <w:tc>
          <w:tcPr>
            <w:tcW w:w="889" w:type="dxa"/>
            <w:tcBorders>
              <w:top w:val="nil"/>
              <w:left w:val="nil"/>
              <w:bottom w:val="nil"/>
              <w:right w:val="nil"/>
            </w:tcBorders>
            <w:shd w:val="clear" w:color="auto" w:fill="auto"/>
            <w:noWrap/>
            <w:vAlign w:val="bottom"/>
            <w:hideMark/>
          </w:tcPr>
          <w:p w:rsidR="00175E6D" w:rsidRPr="006552E9" w:rsidRDefault="00175E6D" w:rsidP="00B92E81">
            <w:pPr>
              <w:spacing w:before="0"/>
              <w:jc w:val="center"/>
              <w:rPr>
                <w:rFonts w:cs="Arial"/>
                <w:sz w:val="20"/>
                <w:szCs w:val="20"/>
              </w:rPr>
            </w:pPr>
          </w:p>
        </w:tc>
        <w:tc>
          <w:tcPr>
            <w:tcW w:w="1569"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12,420 </w:t>
            </w:r>
          </w:p>
        </w:tc>
        <w:tc>
          <w:tcPr>
            <w:tcW w:w="1652" w:type="dxa"/>
            <w:tcBorders>
              <w:top w:val="single" w:sz="4" w:space="0" w:color="auto"/>
              <w:left w:val="nil"/>
              <w:bottom w:val="single" w:sz="4" w:space="0" w:color="auto"/>
              <w:right w:val="nil"/>
            </w:tcBorders>
            <w:shd w:val="clear" w:color="auto" w:fill="auto"/>
            <w:noWrap/>
            <w:vAlign w:val="bottom"/>
            <w:hideMark/>
          </w:tcPr>
          <w:p w:rsidR="00175E6D" w:rsidRPr="006552E9" w:rsidRDefault="00175E6D" w:rsidP="00B92E81">
            <w:pPr>
              <w:spacing w:before="0"/>
              <w:jc w:val="right"/>
              <w:rPr>
                <w:rFonts w:cs="Arial"/>
                <w:b/>
                <w:bCs/>
                <w:sz w:val="20"/>
                <w:szCs w:val="20"/>
              </w:rPr>
            </w:pPr>
            <w:r w:rsidRPr="006552E9">
              <w:rPr>
                <w:rFonts w:cs="Arial"/>
                <w:b/>
                <w:bCs/>
                <w:sz w:val="20"/>
                <w:szCs w:val="20"/>
              </w:rPr>
              <w:t xml:space="preserve"> 9,565 </w:t>
            </w:r>
          </w:p>
        </w:tc>
      </w:tr>
    </w:tbl>
    <w:p w:rsidR="00173C0E" w:rsidRPr="006552E9" w:rsidRDefault="00173C0E" w:rsidP="00173C0E">
      <w:pPr>
        <w:rPr>
          <w:i/>
        </w:rPr>
      </w:pPr>
      <w:r w:rsidRPr="006552E9">
        <w:rPr>
          <w:i/>
        </w:rPr>
        <w:t>The accompanying accounting policies and notes form an integral part of these financial statements.</w:t>
      </w:r>
    </w:p>
    <w:p w:rsidR="00173C0E" w:rsidRPr="006552E9" w:rsidRDefault="00173C0E" w:rsidP="00B92E81">
      <w:pPr>
        <w:spacing w:before="0"/>
      </w:pPr>
      <w:r w:rsidRPr="006552E9">
        <w:rPr>
          <w:noProof/>
        </w:rPr>
        <w:drawing>
          <wp:inline distT="0" distB="0" distL="0" distR="0" wp14:anchorId="5CD97CA8" wp14:editId="1E901AE4">
            <wp:extent cx="1415415" cy="548640"/>
            <wp:effectExtent l="0" t="0" r="0" b="0"/>
            <wp:docPr id="4" name="Picture 4"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6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415" cy="548640"/>
                    </a:xfrm>
                    <a:prstGeom prst="rect">
                      <a:avLst/>
                    </a:prstGeom>
                    <a:noFill/>
                    <a:ln>
                      <a:noFill/>
                    </a:ln>
                  </pic:spPr>
                </pic:pic>
              </a:graphicData>
            </a:graphic>
          </wp:inline>
        </w:drawing>
      </w:r>
      <w:r w:rsidRPr="006552E9">
        <w:tab/>
      </w:r>
      <w:r w:rsidRPr="006552E9">
        <w:tab/>
      </w:r>
      <w:r w:rsidRPr="006552E9">
        <w:tab/>
      </w:r>
      <w:r w:rsidRPr="006552E9">
        <w:tab/>
      </w:r>
      <w:r w:rsidRPr="006552E9">
        <w:rPr>
          <w:noProof/>
        </w:rPr>
        <w:drawing>
          <wp:inline distT="0" distB="0" distL="0" distR="0" wp14:anchorId="196458D9" wp14:editId="39B14344">
            <wp:extent cx="1458037" cy="64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 sig.jpg"/>
                    <pic:cNvPicPr/>
                  </pic:nvPicPr>
                  <pic:blipFill rotWithShape="1">
                    <a:blip r:embed="rId51" cstate="print">
                      <a:extLst>
                        <a:ext uri="{28A0092B-C50C-407E-A947-70E740481C1C}">
                          <a14:useLocalDpi xmlns:a14="http://schemas.microsoft.com/office/drawing/2010/main" val="0"/>
                        </a:ext>
                      </a:extLst>
                    </a:blip>
                    <a:srcRect t="20588"/>
                    <a:stretch/>
                  </pic:blipFill>
                  <pic:spPr bwMode="auto">
                    <a:xfrm>
                      <a:off x="0" y="0"/>
                      <a:ext cx="1463040" cy="646265"/>
                    </a:xfrm>
                    <a:prstGeom prst="rect">
                      <a:avLst/>
                    </a:prstGeom>
                    <a:ln>
                      <a:noFill/>
                    </a:ln>
                    <a:extLst>
                      <a:ext uri="{53640926-AAD7-44D8-BBD7-CCE9431645EC}">
                        <a14:shadowObscured xmlns:a14="http://schemas.microsoft.com/office/drawing/2010/main"/>
                      </a:ext>
                    </a:extLst>
                  </pic:spPr>
                </pic:pic>
              </a:graphicData>
            </a:graphic>
          </wp:inline>
        </w:drawing>
      </w:r>
    </w:p>
    <w:p w:rsidR="00173C0E" w:rsidRPr="006552E9" w:rsidRDefault="00173C0E" w:rsidP="00173C0E">
      <w:pPr>
        <w:spacing w:before="0"/>
      </w:pPr>
      <w:r w:rsidRPr="006552E9">
        <w:t xml:space="preserve">Stephen Wainwright </w:t>
      </w:r>
      <w:r w:rsidRPr="006552E9">
        <w:tab/>
      </w:r>
      <w:r w:rsidRPr="006552E9">
        <w:tab/>
      </w:r>
      <w:r w:rsidRPr="006552E9">
        <w:tab/>
      </w:r>
      <w:r w:rsidRPr="006552E9">
        <w:tab/>
      </w:r>
      <w:r w:rsidRPr="006552E9">
        <w:tab/>
        <w:t>R S Grant</w:t>
      </w:r>
    </w:p>
    <w:p w:rsidR="00173C0E" w:rsidRPr="006552E9" w:rsidRDefault="00173C0E" w:rsidP="00173C0E">
      <w:pPr>
        <w:spacing w:before="0"/>
      </w:pPr>
      <w:r w:rsidRPr="006552E9">
        <w:t xml:space="preserve">Chief Executive </w:t>
      </w:r>
      <w:r w:rsidRPr="006552E9">
        <w:tab/>
      </w:r>
      <w:r w:rsidRPr="006552E9">
        <w:tab/>
      </w:r>
      <w:r w:rsidRPr="006552E9">
        <w:tab/>
      </w:r>
      <w:r w:rsidRPr="006552E9">
        <w:tab/>
      </w:r>
      <w:r w:rsidRPr="006552E9">
        <w:tab/>
        <w:t>Chair, Arts Council</w:t>
      </w:r>
    </w:p>
    <w:p w:rsidR="00173C0E" w:rsidRPr="006552E9" w:rsidRDefault="00173C0E" w:rsidP="000D0CAC">
      <w:pPr>
        <w:spacing w:before="0"/>
      </w:pPr>
      <w:r w:rsidRPr="006552E9">
        <w:t>16 October 2013</w:t>
      </w:r>
      <w:r w:rsidRPr="006552E9">
        <w:tab/>
      </w:r>
      <w:r w:rsidRPr="006552E9">
        <w:tab/>
      </w:r>
      <w:r w:rsidRPr="006552E9">
        <w:tab/>
      </w:r>
      <w:r w:rsidRPr="006552E9">
        <w:tab/>
      </w:r>
      <w:r w:rsidRPr="006552E9">
        <w:tab/>
        <w:t>16 October 2013</w:t>
      </w:r>
    </w:p>
    <w:p w:rsidR="00175E6D" w:rsidRPr="006552E9" w:rsidRDefault="00175E6D" w:rsidP="00175E6D">
      <w:pPr>
        <w:pStyle w:val="Heading2"/>
      </w:pPr>
      <w:bookmarkStart w:id="89" w:name="_Toc339551248"/>
      <w:bookmarkStart w:id="90" w:name="_Toc373415055"/>
      <w:r w:rsidRPr="006552E9">
        <w:t xml:space="preserve">Statement of </w:t>
      </w:r>
      <w:r w:rsidR="008F45DE">
        <w:t>cash flow</w:t>
      </w:r>
      <w:r w:rsidR="0098014C" w:rsidRPr="006552E9">
        <w:t>s</w:t>
      </w:r>
      <w:bookmarkEnd w:id="89"/>
      <w:bookmarkEnd w:id="90"/>
    </w:p>
    <w:p w:rsidR="00175E6D" w:rsidRPr="006552E9" w:rsidRDefault="00175E6D" w:rsidP="00175E6D">
      <w:pPr>
        <w:spacing w:before="0"/>
        <w:jc w:val="left"/>
      </w:pPr>
      <w:r w:rsidRPr="006552E9">
        <w:t>For the year ended 30 June 2013</w:t>
      </w:r>
    </w:p>
    <w:tbl>
      <w:tblPr>
        <w:tblW w:w="8996" w:type="dxa"/>
        <w:tblInd w:w="93" w:type="dxa"/>
        <w:tblLook w:val="04A0" w:firstRow="1" w:lastRow="0" w:firstColumn="1" w:lastColumn="0" w:noHBand="0" w:noVBand="1"/>
      </w:tblPr>
      <w:tblGrid>
        <w:gridCol w:w="1080"/>
        <w:gridCol w:w="600"/>
        <w:gridCol w:w="4856"/>
        <w:gridCol w:w="1220"/>
        <w:gridCol w:w="1240"/>
      </w:tblGrid>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BUDGET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ACTUAL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ACTUAL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2013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2012 </w:t>
            </w:r>
          </w:p>
        </w:tc>
      </w:tr>
      <w:tr w:rsidR="007B3550" w:rsidRPr="006552E9" w:rsidTr="007B3550">
        <w:trPr>
          <w:trHeight w:val="255"/>
        </w:trPr>
        <w:tc>
          <w:tcPr>
            <w:tcW w:w="108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$000 </w:t>
            </w:r>
          </w:p>
        </w:tc>
        <w:tc>
          <w:tcPr>
            <w:tcW w:w="60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w:t>
            </w:r>
          </w:p>
        </w:tc>
        <w:tc>
          <w:tcPr>
            <w:tcW w:w="4856"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w:t>
            </w:r>
          </w:p>
        </w:tc>
        <w:tc>
          <w:tcPr>
            <w:tcW w:w="122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$000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w:t>
            </w:r>
            <w:r w:rsidR="008F45DE">
              <w:rPr>
                <w:rFonts w:cs="Arial"/>
                <w:b/>
                <w:bCs/>
                <w:sz w:val="20"/>
                <w:szCs w:val="20"/>
              </w:rPr>
              <w:t>CASH FLOW</w:t>
            </w:r>
            <w:r w:rsidRPr="006552E9">
              <w:rPr>
                <w:rFonts w:cs="Arial"/>
                <w:b/>
                <w:bCs/>
                <w:sz w:val="20"/>
                <w:szCs w:val="20"/>
              </w:rPr>
              <w:t xml:space="preserve">S FROM OPERATING ACTIVITIES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was provided from: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15,689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Crown revenue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15,689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15,689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27,705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New Zealand Lottery Grants Board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30,631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21,006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284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Other revenue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681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193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Retirement of grants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101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140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550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Interest received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676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546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Net </w:t>
            </w:r>
            <w:r w:rsidR="00BC6FDE" w:rsidRPr="006552E9">
              <w:rPr>
                <w:rFonts w:cs="Arial"/>
                <w:sz w:val="20"/>
                <w:szCs w:val="20"/>
              </w:rPr>
              <w:t xml:space="preserve">goods and services tax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104 </w:t>
            </w:r>
          </w:p>
        </w:tc>
        <w:tc>
          <w:tcPr>
            <w:tcW w:w="124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44,228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47,882 </w:t>
            </w:r>
          </w:p>
        </w:tc>
        <w:tc>
          <w:tcPr>
            <w:tcW w:w="124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37,574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was applied to: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37,735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Payments of grants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37,433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37,751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4,460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Payments to employees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4,469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4,533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2,591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Payments of operating expenses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3,048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2,258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Net </w:t>
            </w:r>
            <w:r w:rsidR="00BC6FDE" w:rsidRPr="006552E9">
              <w:rPr>
                <w:rFonts w:cs="Arial"/>
                <w:sz w:val="20"/>
                <w:szCs w:val="20"/>
              </w:rPr>
              <w:t xml:space="preserve">goods and services tax </w:t>
            </w:r>
          </w:p>
        </w:tc>
        <w:tc>
          <w:tcPr>
            <w:tcW w:w="122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1,321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44,786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44,950 </w:t>
            </w:r>
          </w:p>
        </w:tc>
        <w:tc>
          <w:tcPr>
            <w:tcW w:w="124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45,863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w:t>
            </w:r>
          </w:p>
        </w:tc>
        <w:tc>
          <w:tcPr>
            <w:tcW w:w="124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(558)</w:t>
            </w: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NET </w:t>
            </w:r>
            <w:r w:rsidR="008F45DE">
              <w:rPr>
                <w:rFonts w:cs="Arial"/>
                <w:b/>
                <w:bCs/>
                <w:sz w:val="20"/>
                <w:szCs w:val="20"/>
              </w:rPr>
              <w:t>CASH FLOW</w:t>
            </w:r>
            <w:r w:rsidRPr="006552E9">
              <w:rPr>
                <w:rFonts w:cs="Arial"/>
                <w:b/>
                <w:bCs/>
                <w:sz w:val="20"/>
                <w:szCs w:val="20"/>
              </w:rPr>
              <w:t xml:space="preserve">S FROM OPERATING ACTIVITIES </w:t>
            </w:r>
          </w:p>
        </w:tc>
        <w:tc>
          <w:tcPr>
            <w:tcW w:w="122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2,932 </w:t>
            </w:r>
          </w:p>
        </w:tc>
        <w:tc>
          <w:tcPr>
            <w:tcW w:w="1240" w:type="dxa"/>
            <w:tcBorders>
              <w:top w:val="nil"/>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(8,289)</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w:t>
            </w:r>
            <w:r w:rsidR="008F45DE">
              <w:rPr>
                <w:rFonts w:cs="Arial"/>
                <w:b/>
                <w:bCs/>
                <w:sz w:val="20"/>
                <w:szCs w:val="20"/>
              </w:rPr>
              <w:t>CASH FLOW</w:t>
            </w:r>
            <w:r w:rsidRPr="006552E9">
              <w:rPr>
                <w:rFonts w:cs="Arial"/>
                <w:b/>
                <w:bCs/>
                <w:sz w:val="20"/>
                <w:szCs w:val="20"/>
              </w:rPr>
              <w:t xml:space="preserve">S FROM INVESTING ACTIVITIES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was provided from: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b/>
                <w:bCs/>
                <w:sz w:val="20"/>
                <w:szCs w:val="20"/>
              </w:rPr>
            </w:pPr>
            <w:r>
              <w:rPr>
                <w:rFonts w:cs="Arial"/>
                <w:b/>
                <w:bCs/>
                <w:sz w:val="20"/>
                <w:szCs w:val="20"/>
              </w:rPr>
              <w:t xml:space="preserve"> </w:t>
            </w:r>
            <w:r w:rsidR="00877D63">
              <w:rPr>
                <w:rFonts w:cs="Arial"/>
                <w:b/>
                <w:bCs/>
                <w:sz w:val="20"/>
                <w:szCs w:val="20"/>
              </w:rPr>
              <w:t>–</w:t>
            </w:r>
            <w:r w:rsidR="007B3550" w:rsidRPr="006552E9">
              <w:rPr>
                <w:rFonts w:cs="Arial"/>
                <w:b/>
                <w:bCs/>
                <w:sz w:val="20"/>
                <w:szCs w:val="20"/>
              </w:rPr>
              <w:t xml:space="preserve">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Sale of property, plant and equipment </w:t>
            </w:r>
          </w:p>
        </w:tc>
        <w:tc>
          <w:tcPr>
            <w:tcW w:w="122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was applied to: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816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Purchase of property, plant, equipment </w:t>
            </w:r>
            <w:r w:rsidRPr="006552E9">
              <w:rPr>
                <w:rFonts w:cs="Arial"/>
                <w:sz w:val="20"/>
                <w:szCs w:val="20"/>
              </w:rPr>
              <w:br/>
              <w:t xml:space="preserve"> and intangible assets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484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499 </w:t>
            </w:r>
          </w:p>
        </w:tc>
      </w:tr>
      <w:tr w:rsidR="007B3550" w:rsidRPr="006552E9" w:rsidTr="007B3550">
        <w:tc>
          <w:tcPr>
            <w:tcW w:w="108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Investment in term deposits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7,500 </w:t>
            </w:r>
          </w:p>
        </w:tc>
        <w:tc>
          <w:tcPr>
            <w:tcW w:w="1240" w:type="dxa"/>
            <w:tcBorders>
              <w:top w:val="nil"/>
              <w:left w:val="nil"/>
              <w:bottom w:val="nil"/>
              <w:right w:val="nil"/>
            </w:tcBorders>
            <w:shd w:val="clear" w:color="auto" w:fill="auto"/>
            <w:noWrap/>
            <w:vAlign w:val="bottom"/>
            <w:hideMark/>
          </w:tcPr>
          <w:p w:rsidR="007B3550" w:rsidRPr="006552E9" w:rsidRDefault="00C02722" w:rsidP="007B3550">
            <w:pPr>
              <w:spacing w:before="0"/>
              <w:jc w:val="right"/>
              <w:rPr>
                <w:rFonts w:cs="Arial"/>
                <w:sz w:val="20"/>
                <w:szCs w:val="20"/>
              </w:rPr>
            </w:pPr>
            <w:r>
              <w:rPr>
                <w:rFonts w:cs="Arial"/>
                <w:sz w:val="20"/>
                <w:szCs w:val="20"/>
              </w:rPr>
              <w:t xml:space="preserve"> </w:t>
            </w:r>
            <w:r w:rsidR="00877D63">
              <w:rPr>
                <w:rFonts w:cs="Arial"/>
                <w:sz w:val="20"/>
                <w:szCs w:val="20"/>
              </w:rPr>
              <w:t>–</w:t>
            </w:r>
            <w:r w:rsidR="007B3550" w:rsidRPr="006552E9">
              <w:rPr>
                <w:rFonts w:cs="Arial"/>
                <w:sz w:val="20"/>
                <w:szCs w:val="20"/>
              </w:rPr>
              <w:t xml:space="preserve">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(816)</w:t>
            </w: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NET </w:t>
            </w:r>
            <w:r w:rsidR="008F45DE">
              <w:rPr>
                <w:rFonts w:cs="Arial"/>
                <w:b/>
                <w:bCs/>
                <w:sz w:val="20"/>
                <w:szCs w:val="20"/>
              </w:rPr>
              <w:t>CASH FLOW</w:t>
            </w:r>
            <w:r w:rsidRPr="006552E9">
              <w:rPr>
                <w:rFonts w:cs="Arial"/>
                <w:b/>
                <w:bCs/>
                <w:sz w:val="20"/>
                <w:szCs w:val="20"/>
              </w:rPr>
              <w:t xml:space="preserve">S FROM INVESTING ACTIVITIES </w:t>
            </w:r>
          </w:p>
        </w:tc>
        <w:tc>
          <w:tcPr>
            <w:tcW w:w="122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(7,984)</w:t>
            </w:r>
          </w:p>
        </w:tc>
        <w:tc>
          <w:tcPr>
            <w:tcW w:w="124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(497)</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single" w:sz="4" w:space="0" w:color="auto"/>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(1,374)</w:t>
            </w: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NET INCREASE (DECREASE) IN CASH HELD </w:t>
            </w:r>
          </w:p>
        </w:tc>
        <w:tc>
          <w:tcPr>
            <w:tcW w:w="1220" w:type="dxa"/>
            <w:tcBorders>
              <w:top w:val="single" w:sz="4" w:space="0" w:color="auto"/>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(5,052)</w:t>
            </w:r>
          </w:p>
        </w:tc>
        <w:tc>
          <w:tcPr>
            <w:tcW w:w="1240" w:type="dxa"/>
            <w:tcBorders>
              <w:top w:val="single" w:sz="4" w:space="0" w:color="auto"/>
              <w:left w:val="nil"/>
              <w:bottom w:val="nil"/>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(8,786)</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Add opening cash brought forward: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on hand and at bank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43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29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12,704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w:t>
            </w:r>
            <w:r w:rsidR="00186401">
              <w:rPr>
                <w:rFonts w:cs="Arial"/>
                <w:sz w:val="20"/>
                <w:szCs w:val="20"/>
              </w:rPr>
              <w:t>Short-term</w:t>
            </w:r>
            <w:r w:rsidRPr="006552E9">
              <w:rPr>
                <w:rFonts w:cs="Arial"/>
                <w:sz w:val="20"/>
                <w:szCs w:val="20"/>
              </w:rPr>
              <w:t xml:space="preserve"> deposits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12,654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21,454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11,360 </w:t>
            </w: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r w:rsidRPr="006552E9">
              <w:rPr>
                <w:rFonts w:cs="Arial"/>
                <w:b/>
                <w:bCs/>
                <w:sz w:val="20"/>
                <w:szCs w:val="20"/>
              </w:rPr>
              <w:t xml:space="preserve"> BALANCE AT END OF YEAR </w:t>
            </w:r>
          </w:p>
        </w:tc>
        <w:tc>
          <w:tcPr>
            <w:tcW w:w="122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7,645 </w:t>
            </w:r>
          </w:p>
        </w:tc>
        <w:tc>
          <w:tcPr>
            <w:tcW w:w="124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12,697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Represented by: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5456" w:type="dxa"/>
            <w:gridSpan w:val="2"/>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Closing cash carried forward: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Cash on hand and at bank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32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43 </w:t>
            </w:r>
          </w:p>
        </w:tc>
      </w:tr>
      <w:tr w:rsidR="007B3550" w:rsidRPr="006552E9" w:rsidTr="007B3550">
        <w:trPr>
          <w:trHeight w:val="255"/>
        </w:trPr>
        <w:tc>
          <w:tcPr>
            <w:tcW w:w="108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11,330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sz w:val="20"/>
                <w:szCs w:val="20"/>
              </w:rPr>
            </w:pPr>
            <w:r w:rsidRPr="006552E9">
              <w:rPr>
                <w:rFonts w:cs="Arial"/>
                <w:sz w:val="20"/>
                <w:szCs w:val="20"/>
              </w:rPr>
              <w:t xml:space="preserve"> </w:t>
            </w:r>
            <w:r w:rsidR="00186401">
              <w:rPr>
                <w:rFonts w:cs="Arial"/>
                <w:sz w:val="20"/>
                <w:szCs w:val="20"/>
              </w:rPr>
              <w:t>Short-term</w:t>
            </w:r>
            <w:r w:rsidRPr="006552E9">
              <w:rPr>
                <w:rFonts w:cs="Arial"/>
                <w:sz w:val="20"/>
                <w:szCs w:val="20"/>
              </w:rPr>
              <w:t xml:space="preserve"> deposits </w:t>
            </w:r>
          </w:p>
        </w:tc>
        <w:tc>
          <w:tcPr>
            <w:tcW w:w="122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7,613 </w:t>
            </w:r>
          </w:p>
        </w:tc>
        <w:tc>
          <w:tcPr>
            <w:tcW w:w="1240" w:type="dxa"/>
            <w:tcBorders>
              <w:top w:val="nil"/>
              <w:left w:val="nil"/>
              <w:bottom w:val="nil"/>
              <w:right w:val="nil"/>
            </w:tcBorders>
            <w:shd w:val="clear" w:color="auto" w:fill="auto"/>
            <w:noWrap/>
            <w:vAlign w:val="bottom"/>
            <w:hideMark/>
          </w:tcPr>
          <w:p w:rsidR="007B3550" w:rsidRPr="006552E9" w:rsidRDefault="007B3550" w:rsidP="007B3550">
            <w:pPr>
              <w:spacing w:before="0"/>
              <w:jc w:val="right"/>
              <w:rPr>
                <w:rFonts w:cs="Arial"/>
                <w:sz w:val="20"/>
                <w:szCs w:val="20"/>
              </w:rPr>
            </w:pPr>
            <w:r w:rsidRPr="006552E9">
              <w:rPr>
                <w:rFonts w:cs="Arial"/>
                <w:sz w:val="20"/>
                <w:szCs w:val="20"/>
              </w:rPr>
              <w:t xml:space="preserve"> 12,654 </w:t>
            </w:r>
          </w:p>
        </w:tc>
      </w:tr>
      <w:tr w:rsidR="007B3550" w:rsidRPr="006552E9" w:rsidTr="007B3550">
        <w:trPr>
          <w:trHeight w:val="255"/>
        </w:trPr>
        <w:tc>
          <w:tcPr>
            <w:tcW w:w="108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11,360 </w:t>
            </w:r>
          </w:p>
        </w:tc>
        <w:tc>
          <w:tcPr>
            <w:tcW w:w="600"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4856" w:type="dxa"/>
            <w:tcBorders>
              <w:top w:val="nil"/>
              <w:left w:val="nil"/>
              <w:bottom w:val="nil"/>
              <w:right w:val="nil"/>
            </w:tcBorders>
            <w:shd w:val="clear" w:color="auto" w:fill="auto"/>
            <w:noWrap/>
            <w:vAlign w:val="bottom"/>
            <w:hideMark/>
          </w:tcPr>
          <w:p w:rsidR="007B3550" w:rsidRPr="006552E9" w:rsidRDefault="007B3550" w:rsidP="007B3550">
            <w:pPr>
              <w:spacing w:before="0"/>
              <w:jc w:val="left"/>
              <w:rPr>
                <w:rFonts w:cs="Arial"/>
                <w:b/>
                <w:bCs/>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7,645 </w:t>
            </w:r>
          </w:p>
        </w:tc>
        <w:tc>
          <w:tcPr>
            <w:tcW w:w="1240" w:type="dxa"/>
            <w:tcBorders>
              <w:top w:val="single" w:sz="4" w:space="0" w:color="auto"/>
              <w:left w:val="nil"/>
              <w:bottom w:val="single" w:sz="4" w:space="0" w:color="auto"/>
              <w:right w:val="nil"/>
            </w:tcBorders>
            <w:shd w:val="clear" w:color="auto" w:fill="auto"/>
            <w:noWrap/>
            <w:vAlign w:val="bottom"/>
            <w:hideMark/>
          </w:tcPr>
          <w:p w:rsidR="007B3550" w:rsidRPr="006552E9" w:rsidRDefault="007B3550" w:rsidP="007B3550">
            <w:pPr>
              <w:spacing w:before="0"/>
              <w:jc w:val="right"/>
              <w:rPr>
                <w:rFonts w:cs="Arial"/>
                <w:b/>
                <w:bCs/>
                <w:sz w:val="20"/>
                <w:szCs w:val="20"/>
              </w:rPr>
            </w:pPr>
            <w:r w:rsidRPr="006552E9">
              <w:rPr>
                <w:rFonts w:cs="Arial"/>
                <w:b/>
                <w:bCs/>
                <w:sz w:val="20"/>
                <w:szCs w:val="20"/>
              </w:rPr>
              <w:t xml:space="preserve"> 12,697 </w:t>
            </w:r>
          </w:p>
        </w:tc>
      </w:tr>
    </w:tbl>
    <w:p w:rsidR="00175E6D" w:rsidRPr="006552E9" w:rsidRDefault="00175E6D" w:rsidP="00175E6D">
      <w:r w:rsidRPr="006552E9">
        <w:t>The goods and services tax (GST) (net) component of operating activities reflects the net GST paid and received with Inland Revenue. The GST (net) component has been presented on a net basis, as the gross amounts do not provide meaningful information for financial statement purposes.</w:t>
      </w:r>
    </w:p>
    <w:p w:rsidR="007B3550" w:rsidRPr="006552E9" w:rsidRDefault="00175E6D" w:rsidP="00BC6FDE">
      <w:r w:rsidRPr="006552E9">
        <w:rPr>
          <w:i/>
        </w:rPr>
        <w:t>The accompanying accounting policies and notes form an integral part of these financial statements</w:t>
      </w:r>
      <w:r w:rsidRPr="006552E9">
        <w:t>.</w:t>
      </w:r>
      <w:r w:rsidR="007B3550" w:rsidRPr="006552E9">
        <w:br w:type="page"/>
      </w:r>
    </w:p>
    <w:p w:rsidR="007B3550" w:rsidRPr="006552E9" w:rsidRDefault="007B3550" w:rsidP="007B3550">
      <w:pPr>
        <w:pStyle w:val="Heading2"/>
      </w:pPr>
      <w:bookmarkStart w:id="91" w:name="_Toc307563669"/>
      <w:bookmarkStart w:id="92" w:name="_Toc373415056"/>
      <w:r w:rsidRPr="006552E9">
        <w:t xml:space="preserve">Notes to the </w:t>
      </w:r>
      <w:r w:rsidR="0098014C" w:rsidRPr="006552E9">
        <w:t>financial statements</w:t>
      </w:r>
      <w:bookmarkEnd w:id="91"/>
      <w:bookmarkEnd w:id="92"/>
    </w:p>
    <w:p w:rsidR="007B3550" w:rsidRPr="006552E9" w:rsidRDefault="007B3550" w:rsidP="00E22C83">
      <w:pPr>
        <w:pStyle w:val="Style1"/>
      </w:pPr>
      <w:bookmarkStart w:id="93" w:name="_Toc307563670"/>
      <w:r w:rsidRPr="006552E9">
        <w:t>1.</w:t>
      </w:r>
      <w:r w:rsidRPr="006552E9">
        <w:tab/>
        <w:t>Statement of accounting policies</w:t>
      </w:r>
      <w:bookmarkEnd w:id="93"/>
    </w:p>
    <w:p w:rsidR="007B3550" w:rsidRPr="006552E9" w:rsidRDefault="00BC6FDE" w:rsidP="007B3550">
      <w:pPr>
        <w:rPr>
          <w:rFonts w:cs="Arial"/>
          <w:szCs w:val="22"/>
        </w:rPr>
      </w:pPr>
      <w:r w:rsidRPr="006552E9">
        <w:rPr>
          <w:rFonts w:cs="Arial"/>
          <w:szCs w:val="22"/>
        </w:rPr>
        <w:t xml:space="preserve">For </w:t>
      </w:r>
      <w:r w:rsidR="007B3550" w:rsidRPr="006552E9">
        <w:rPr>
          <w:rFonts w:cs="Arial"/>
          <w:szCs w:val="22"/>
        </w:rPr>
        <w:t>the year ended 30 June 2013.</w:t>
      </w:r>
    </w:p>
    <w:p w:rsidR="007B3550" w:rsidRPr="006552E9" w:rsidRDefault="007B3550" w:rsidP="007B3550">
      <w:pPr>
        <w:pStyle w:val="Heading4"/>
      </w:pPr>
      <w:r w:rsidRPr="006552E9">
        <w:t>1.1</w:t>
      </w:r>
      <w:r w:rsidRPr="006552E9">
        <w:tab/>
        <w:t>Reporting entity</w:t>
      </w:r>
    </w:p>
    <w:p w:rsidR="007B3550" w:rsidRPr="006552E9" w:rsidRDefault="007B3550" w:rsidP="007B3550">
      <w:pPr>
        <w:rPr>
          <w:rFonts w:cs="Arial"/>
          <w:szCs w:val="22"/>
        </w:rPr>
      </w:pPr>
      <w:r w:rsidRPr="006552E9">
        <w:rPr>
          <w:rFonts w:cs="Arial"/>
          <w:szCs w:val="22"/>
        </w:rPr>
        <w:t>The Arts Council of New Zealand Toi Aotearoa was established on 1 July 1994 by the Arts Council of New Zealand Toi Aotearoa Act 1994. The Council has chosen to operate under the name Creative New Zealand.</w:t>
      </w:r>
    </w:p>
    <w:p w:rsidR="007B3550" w:rsidRPr="006552E9" w:rsidRDefault="007B3550" w:rsidP="007B3550">
      <w:pPr>
        <w:rPr>
          <w:rFonts w:cs="Arial"/>
          <w:szCs w:val="22"/>
        </w:rPr>
      </w:pPr>
      <w:r w:rsidRPr="006552E9">
        <w:rPr>
          <w:rFonts w:cs="Arial"/>
          <w:szCs w:val="22"/>
        </w:rPr>
        <w:t>Creative New Zealand is a Crown entity as defined by the Crown Entities Act 2004 and is domiciled in New Zealand. As such, Creative New Zealand’s ultimate parent is the New Zealand Crown.</w:t>
      </w:r>
    </w:p>
    <w:p w:rsidR="007B3550" w:rsidRPr="006552E9" w:rsidRDefault="007B3550" w:rsidP="007B3550">
      <w:pPr>
        <w:rPr>
          <w:rFonts w:cs="Arial"/>
          <w:szCs w:val="22"/>
        </w:rPr>
      </w:pPr>
      <w:r w:rsidRPr="006552E9">
        <w:rPr>
          <w:rFonts w:cs="Arial"/>
          <w:szCs w:val="22"/>
        </w:rPr>
        <w:t xml:space="preserve">Its purpose, as defined under the Arts Council of New Zealand Toi Aotearoa Act 1994, is to encourage, promote and support the arts in New Zealand for the benefit of all New Zealanders. </w:t>
      </w:r>
    </w:p>
    <w:p w:rsidR="007B3550" w:rsidRPr="006552E9" w:rsidRDefault="007B3550" w:rsidP="007B3550">
      <w:pPr>
        <w:rPr>
          <w:rFonts w:cs="Arial"/>
          <w:szCs w:val="22"/>
        </w:rPr>
      </w:pPr>
      <w:r w:rsidRPr="006552E9">
        <w:rPr>
          <w:rFonts w:cs="Arial"/>
          <w:szCs w:val="22"/>
        </w:rPr>
        <w:t>Accordingly, Creative New Zealand has designated itself as a public benefit entity for the purposes of New Zealand Equivalents to International Financial Reporting Standards (NZ</w:t>
      </w:r>
      <w:r w:rsidR="00BC6FDE">
        <w:rPr>
          <w:rFonts w:cs="Arial"/>
          <w:szCs w:val="22"/>
        </w:rPr>
        <w:t> </w:t>
      </w:r>
      <w:r w:rsidRPr="006552E9">
        <w:rPr>
          <w:rFonts w:cs="Arial"/>
          <w:szCs w:val="22"/>
        </w:rPr>
        <w:t>IFRS).</w:t>
      </w:r>
    </w:p>
    <w:p w:rsidR="007B3550" w:rsidRPr="006552E9" w:rsidRDefault="007B3550" w:rsidP="007B3550">
      <w:pPr>
        <w:rPr>
          <w:rFonts w:cs="Arial"/>
          <w:szCs w:val="22"/>
          <w:highlight w:val="yellow"/>
        </w:rPr>
      </w:pPr>
      <w:r w:rsidRPr="006552E9">
        <w:rPr>
          <w:rFonts w:cs="Arial"/>
          <w:szCs w:val="22"/>
        </w:rPr>
        <w:t>The financial statements of Creative New Zealand are for the year ended 30 June 2013 and were authorised for issue by Creative New Zealand on 16 October 2013.</w:t>
      </w:r>
    </w:p>
    <w:p w:rsidR="007B3550" w:rsidRPr="006552E9" w:rsidRDefault="007B3550" w:rsidP="007B3550">
      <w:pPr>
        <w:pStyle w:val="Heading4"/>
      </w:pPr>
      <w:r w:rsidRPr="006552E9">
        <w:t>1.2</w:t>
      </w:r>
      <w:r w:rsidRPr="006552E9">
        <w:tab/>
        <w:t>Basis of preparation</w:t>
      </w:r>
    </w:p>
    <w:p w:rsidR="007B3550" w:rsidRPr="006552E9" w:rsidRDefault="007B3550" w:rsidP="007B3550">
      <w:pPr>
        <w:pStyle w:val="Heading5"/>
      </w:pPr>
      <w:r w:rsidRPr="006552E9">
        <w:t>1.2.1</w:t>
      </w:r>
      <w:r w:rsidRPr="006552E9">
        <w:tab/>
        <w:t>Statement of compliance</w:t>
      </w:r>
    </w:p>
    <w:p w:rsidR="007B3550" w:rsidRPr="006552E9" w:rsidRDefault="007B3550" w:rsidP="007B3550">
      <w:pPr>
        <w:rPr>
          <w:rFonts w:cs="Arial"/>
          <w:szCs w:val="22"/>
        </w:rPr>
      </w:pPr>
      <w:r w:rsidRPr="006552E9">
        <w:rPr>
          <w:rFonts w:cs="Arial"/>
          <w:szCs w:val="22"/>
        </w:rPr>
        <w:t>The financial statements have been prepared in accordance with the Arts Council of New Zealand Toi Aotearoa Act 1994 and the Crown Entities Act 2004, which includes the requirement to comply with generally accepted accounting practice in New Zealand (NZ</w:t>
      </w:r>
      <w:r w:rsidR="00BC6FDE">
        <w:rPr>
          <w:rFonts w:cs="Arial"/>
          <w:szCs w:val="22"/>
        </w:rPr>
        <w:t> </w:t>
      </w:r>
      <w:r w:rsidRPr="006552E9">
        <w:rPr>
          <w:rFonts w:cs="Arial"/>
          <w:szCs w:val="22"/>
        </w:rPr>
        <w:t>GAAP).</w:t>
      </w:r>
    </w:p>
    <w:p w:rsidR="007B3550" w:rsidRPr="006552E9" w:rsidRDefault="007B3550" w:rsidP="007B3550">
      <w:pPr>
        <w:rPr>
          <w:rFonts w:cs="Arial"/>
          <w:szCs w:val="22"/>
        </w:rPr>
      </w:pPr>
      <w:r w:rsidRPr="006552E9">
        <w:rPr>
          <w:rFonts w:cs="Arial"/>
          <w:szCs w:val="22"/>
        </w:rPr>
        <w:t xml:space="preserve">These financial statements have been prepared in accordance with NZ GAAP, as appropriate for public benefit entities and they comply with NZ IFRS. </w:t>
      </w:r>
    </w:p>
    <w:p w:rsidR="007B3550" w:rsidRPr="006552E9" w:rsidRDefault="007B3550" w:rsidP="007B3550">
      <w:pPr>
        <w:pStyle w:val="Heading5"/>
      </w:pPr>
      <w:r w:rsidRPr="006552E9">
        <w:t>1.2.2</w:t>
      </w:r>
      <w:r w:rsidRPr="006552E9">
        <w:tab/>
        <w:t>Measurement base</w:t>
      </w:r>
    </w:p>
    <w:p w:rsidR="007B3550" w:rsidRPr="006552E9" w:rsidRDefault="007B3550" w:rsidP="007B3550">
      <w:pPr>
        <w:rPr>
          <w:rFonts w:cs="Arial"/>
          <w:szCs w:val="22"/>
        </w:rPr>
      </w:pPr>
      <w:r w:rsidRPr="006552E9">
        <w:rPr>
          <w:rFonts w:cs="Arial"/>
          <w:szCs w:val="22"/>
        </w:rPr>
        <w:t>The financial statements have been prepared on a historical cost basis, except where modified by the revaluation of land and building, works of art and investment property.</w:t>
      </w:r>
    </w:p>
    <w:p w:rsidR="007B3550" w:rsidRPr="006552E9" w:rsidRDefault="007B3550" w:rsidP="007B3550">
      <w:pPr>
        <w:rPr>
          <w:rFonts w:cs="Arial"/>
          <w:szCs w:val="22"/>
        </w:rPr>
      </w:pPr>
      <w:r w:rsidRPr="006552E9">
        <w:rPr>
          <w:rFonts w:cs="Arial"/>
          <w:szCs w:val="22"/>
        </w:rPr>
        <w:t>The accrual basis of accounting has been used unless otherwise stated.</w:t>
      </w:r>
    </w:p>
    <w:p w:rsidR="007B3550" w:rsidRPr="006552E9" w:rsidRDefault="007B3550" w:rsidP="007B3550">
      <w:pPr>
        <w:pStyle w:val="Heading5"/>
      </w:pPr>
      <w:r w:rsidRPr="006552E9">
        <w:t>1.2.3</w:t>
      </w:r>
      <w:r w:rsidRPr="006552E9">
        <w:tab/>
        <w:t>Functional and presentation currency</w:t>
      </w:r>
    </w:p>
    <w:p w:rsidR="007B3550" w:rsidRPr="006552E9" w:rsidRDefault="007B3550" w:rsidP="007B3550">
      <w:pPr>
        <w:rPr>
          <w:rFonts w:cs="Arial"/>
          <w:szCs w:val="22"/>
        </w:rPr>
      </w:pPr>
      <w:r w:rsidRPr="006552E9">
        <w:rPr>
          <w:rFonts w:cs="Arial"/>
          <w:szCs w:val="22"/>
        </w:rPr>
        <w:t>The financial statements are presented in New Zealand dollars (NZ$) and are rounded to the nearest thousand dollars ($000), unless otherwise stated. The functional currency of Creative New Zealand</w:t>
      </w:r>
      <w:r w:rsidRPr="006552E9">
        <w:rPr>
          <w:rFonts w:cs="Arial"/>
          <w:sz w:val="20"/>
        </w:rPr>
        <w:t xml:space="preserve"> </w:t>
      </w:r>
      <w:r w:rsidRPr="006552E9">
        <w:rPr>
          <w:rFonts w:cs="Arial"/>
          <w:szCs w:val="22"/>
        </w:rPr>
        <w:t xml:space="preserve">is New Zealand dollars. </w:t>
      </w:r>
    </w:p>
    <w:p w:rsidR="007B3550" w:rsidRPr="006552E9" w:rsidRDefault="007B3550" w:rsidP="007B3550">
      <w:pPr>
        <w:pStyle w:val="Heading5"/>
      </w:pPr>
      <w:r w:rsidRPr="006552E9">
        <w:t>1.2.4</w:t>
      </w:r>
      <w:r w:rsidRPr="006552E9">
        <w:tab/>
        <w:t>Changes in accounting policies and estimates</w:t>
      </w:r>
    </w:p>
    <w:p w:rsidR="007B3550" w:rsidRPr="006552E9" w:rsidRDefault="007B3550" w:rsidP="007B3550">
      <w:pPr>
        <w:rPr>
          <w:rFonts w:cs="Arial"/>
          <w:szCs w:val="22"/>
        </w:rPr>
      </w:pPr>
      <w:r w:rsidRPr="006552E9">
        <w:rPr>
          <w:rFonts w:cs="Arial"/>
          <w:szCs w:val="22"/>
        </w:rPr>
        <w:t xml:space="preserve">There have been no changes in accounting policies since the date of the last audited financial statements. These policies have been applied on a basis consistent with previous years. If errors are detected that have a material impact on prior periods, then these are applied retrospectively, and comparatives are restated. </w:t>
      </w:r>
    </w:p>
    <w:p w:rsidR="007B3550" w:rsidRPr="006552E9" w:rsidRDefault="007B3550" w:rsidP="007B3550">
      <w:pPr>
        <w:pStyle w:val="Heading5"/>
      </w:pPr>
      <w:r w:rsidRPr="006552E9">
        <w:t>1.2.5</w:t>
      </w:r>
      <w:r w:rsidRPr="006552E9">
        <w:tab/>
        <w:t>Standards, amendments and interpretations issued but not yet effective and have not been early adopted</w:t>
      </w:r>
    </w:p>
    <w:p w:rsidR="007B3550" w:rsidRPr="006552E9" w:rsidRDefault="007B3550" w:rsidP="007B3550">
      <w:pPr>
        <w:rPr>
          <w:rFonts w:cs="Arial"/>
          <w:szCs w:val="22"/>
        </w:rPr>
      </w:pPr>
      <w:r w:rsidRPr="006552E9">
        <w:rPr>
          <w:rFonts w:cs="Arial"/>
          <w:szCs w:val="22"/>
        </w:rPr>
        <w:t>The following new standards, amendments or interpretations that have been issued but are not yet effective may be relevant for Creative New Zealand's financial statements in the future. These standards, amendments or interpretations have not been applied in these financial statements but could have a material effect on these prospective financial statements if they had been applied.</w:t>
      </w:r>
    </w:p>
    <w:p w:rsidR="007B3550" w:rsidRPr="006552E9" w:rsidRDefault="007B3550" w:rsidP="007B3550">
      <w:pPr>
        <w:numPr>
          <w:ilvl w:val="0"/>
          <w:numId w:val="17"/>
        </w:numPr>
      </w:pPr>
      <w:r w:rsidRPr="006552E9">
        <w:rPr>
          <w:rFonts w:cs="Arial"/>
          <w:i/>
          <w:szCs w:val="22"/>
        </w:rPr>
        <w:t>NZ IFRS 9 Financial Instruments</w:t>
      </w:r>
      <w:r w:rsidRPr="006552E9">
        <w:rPr>
          <w:rFonts w:cs="Arial"/>
          <w:szCs w:val="22"/>
        </w:rPr>
        <w:t xml:space="preserve">, will eventually replace </w:t>
      </w:r>
      <w:r w:rsidRPr="006552E9">
        <w:rPr>
          <w:rFonts w:cs="Arial"/>
          <w:i/>
          <w:szCs w:val="22"/>
        </w:rPr>
        <w:t>NZ IAS 39 Financial Instruments: Recognition and Measurement</w:t>
      </w:r>
      <w:r w:rsidRPr="006552E9">
        <w:rPr>
          <w:rFonts w:cs="Arial"/>
          <w:szCs w:val="22"/>
        </w:rPr>
        <w:t xml:space="preserve">. NZ IAS 39 is being replaced in the following three main phases: </w:t>
      </w:r>
      <w:r w:rsidRPr="006552E9">
        <w:t xml:space="preserve">Phase 1 Classification and Measurement, Phase 2 Impairment Methodology, Phase 3 Hedge Accounting. </w:t>
      </w:r>
    </w:p>
    <w:p w:rsidR="007B3550" w:rsidRPr="006552E9" w:rsidRDefault="007B3550" w:rsidP="007B3550">
      <w:pPr>
        <w:ind w:left="720"/>
        <w:rPr>
          <w:rFonts w:cs="Arial"/>
          <w:szCs w:val="22"/>
        </w:rPr>
      </w:pPr>
      <w:r w:rsidRPr="006552E9">
        <w:rPr>
          <w:rFonts w:cs="Arial"/>
          <w:szCs w:val="22"/>
        </w:rPr>
        <w:t>Phase 1 on the classification and measurement of financial assets has been completed and published in the new financial instrument standard NZ IFRS 9. NZ</w:t>
      </w:r>
      <w:r w:rsidR="00BC6FDE">
        <w:rPr>
          <w:rFonts w:cs="Arial"/>
          <w:szCs w:val="22"/>
        </w:rPr>
        <w:t> </w:t>
      </w:r>
      <w:r w:rsidRPr="006552E9">
        <w:rPr>
          <w:rFonts w:cs="Arial"/>
          <w:szCs w:val="22"/>
        </w:rPr>
        <w:t xml:space="preserve">IFRS 9 uses a single approach to determine whether a financial asset is measured at amortised cost or fair value, replacing the many different rules in NZ IAS 39. The approach in NZ IFRS 9 is based on how an entity manages its financial instruments (its business model) and the contractual </w:t>
      </w:r>
      <w:r w:rsidR="008F45DE">
        <w:rPr>
          <w:rFonts w:cs="Arial"/>
          <w:szCs w:val="22"/>
        </w:rPr>
        <w:t>cash flow</w:t>
      </w:r>
      <w:r w:rsidRPr="006552E9">
        <w:rPr>
          <w:rFonts w:cs="Arial"/>
          <w:szCs w:val="22"/>
        </w:rPr>
        <w:t xml:space="preserve"> characteristics of the financial assets. The financial liability requirements are the same as those of NZ IAS 39, except for when an entity elects to designate a financial liability at fair value through the surplus/deficit. The new standard is required to be adopted for the year ended 30 June 2016. However, as a new Accounting Standards Framework will apply before this date, there is no certainty when an equivalent standard to NZ IFRS 9 will be applied by public benefit entities. </w:t>
      </w:r>
    </w:p>
    <w:p w:rsidR="007B3550" w:rsidRPr="006552E9" w:rsidRDefault="007B3550" w:rsidP="007B3550">
      <w:pPr>
        <w:rPr>
          <w:rFonts w:cs="Arial"/>
          <w:szCs w:val="22"/>
        </w:rPr>
      </w:pPr>
      <w:r w:rsidRPr="006552E9">
        <w:rPr>
          <w:rFonts w:cs="Arial"/>
          <w:szCs w:val="22"/>
        </w:rPr>
        <w:t xml:space="preserve">The Minister of Commerce has approved a new Accounting Standards Framework (incorporating a </w:t>
      </w:r>
      <w:r w:rsidR="00BC6FDE" w:rsidRPr="006552E9">
        <w:rPr>
          <w:rFonts w:cs="Arial"/>
          <w:szCs w:val="22"/>
        </w:rPr>
        <w:t>tier strategy</w:t>
      </w:r>
      <w:r w:rsidRPr="006552E9">
        <w:rPr>
          <w:rFonts w:cs="Arial"/>
          <w:szCs w:val="22"/>
        </w:rPr>
        <w:t>) developed by the External Reporting Board (XRB). Under this Accounting Standards Framework, Creative New Zealand is classified as a Tier 1 reporting entity and it will be required to apply full Public Benefit Entity Accounting Standards (PAS). These standards are being developed by the XRB based on current International Public Sector Accounting Standards. The effective date for the new standards for public sector entities is for reporting periods beginning on or after 1 July 2014. Therefore, Creative New Zealand will transition to the new standards in preparing its 30 June 2015 financial statements. Creative New Zealand has not assessed the implications of the new Accounting Standards Framework at this time.</w:t>
      </w:r>
    </w:p>
    <w:p w:rsidR="007B3550" w:rsidRPr="006552E9" w:rsidRDefault="007B3550" w:rsidP="007B3550">
      <w:pPr>
        <w:rPr>
          <w:rFonts w:cs="Arial"/>
          <w:szCs w:val="22"/>
        </w:rPr>
      </w:pPr>
      <w:r w:rsidRPr="006552E9">
        <w:rPr>
          <w:rFonts w:cs="Arial"/>
          <w:szCs w:val="22"/>
        </w:rPr>
        <w:t>Due to the change in the Accounting Standards Framework for public benefit entities, it is expected that all new NZ IFRS and amendments to existing NZ IFRS will not be applicable to public benefit entities. Therefore, the XRB has effectively frozen the financial reporting requirements for public benefit entities up until the new Accounting Standard Framework is effective. Accordingly, no disclosure has been made about new or amended NZ IFRS that exclude public benefit entities from their scope.</w:t>
      </w:r>
    </w:p>
    <w:p w:rsidR="007B3550" w:rsidRPr="006552E9" w:rsidRDefault="007B3550" w:rsidP="007B3550">
      <w:pPr>
        <w:pStyle w:val="Heading4"/>
      </w:pPr>
      <w:r w:rsidRPr="006552E9">
        <w:t>1.3</w:t>
      </w:r>
      <w:r w:rsidRPr="006552E9">
        <w:tab/>
        <w:t>Accounting policies</w:t>
      </w:r>
    </w:p>
    <w:p w:rsidR="007B3550" w:rsidRPr="006552E9" w:rsidRDefault="007B3550" w:rsidP="007B3550">
      <w:pPr>
        <w:rPr>
          <w:rFonts w:cs="Arial"/>
          <w:szCs w:val="22"/>
        </w:rPr>
      </w:pPr>
      <w:r w:rsidRPr="006552E9">
        <w:rPr>
          <w:rFonts w:cs="Arial"/>
          <w:szCs w:val="22"/>
        </w:rPr>
        <w:t>The accounting policies set out below have been applied consistently to all periods presented in these financial statements.</w:t>
      </w:r>
    </w:p>
    <w:p w:rsidR="007B3550" w:rsidRPr="006552E9" w:rsidRDefault="007B3550" w:rsidP="007B3550">
      <w:pPr>
        <w:pStyle w:val="Heading5"/>
      </w:pPr>
      <w:r w:rsidRPr="006552E9">
        <w:t>1.3.1</w:t>
      </w:r>
      <w:r w:rsidRPr="006552E9">
        <w:tab/>
        <w:t>Recognition of revenue and expenditure</w:t>
      </w:r>
    </w:p>
    <w:p w:rsidR="007B3550" w:rsidRPr="006552E9" w:rsidRDefault="007B3550" w:rsidP="007B3550">
      <w:pPr>
        <w:rPr>
          <w:rFonts w:cs="Arial"/>
          <w:szCs w:val="22"/>
        </w:rPr>
      </w:pPr>
      <w:r w:rsidRPr="006552E9">
        <w:rPr>
          <w:rFonts w:cs="Arial"/>
          <w:szCs w:val="22"/>
        </w:rPr>
        <w:t>Revenue is recognised and measured at the fair value of consideration received or receivable to the extent it is probable that the economic benefits will flow to Creative New Zealand</w:t>
      </w:r>
      <w:r w:rsidRPr="006552E9">
        <w:rPr>
          <w:rFonts w:cs="Arial"/>
          <w:sz w:val="20"/>
        </w:rPr>
        <w:t xml:space="preserve"> </w:t>
      </w:r>
      <w:r w:rsidRPr="006552E9">
        <w:rPr>
          <w:rFonts w:cs="Arial"/>
          <w:szCs w:val="22"/>
        </w:rPr>
        <w:t>and the revenue can be measured reliably.</w:t>
      </w:r>
    </w:p>
    <w:p w:rsidR="007B3550" w:rsidRPr="006552E9" w:rsidRDefault="007B3550" w:rsidP="007B3550">
      <w:pPr>
        <w:rPr>
          <w:rFonts w:cs="Arial"/>
          <w:i/>
          <w:szCs w:val="22"/>
        </w:rPr>
      </w:pPr>
      <w:r w:rsidRPr="006552E9">
        <w:rPr>
          <w:rFonts w:cs="Arial"/>
          <w:i/>
          <w:szCs w:val="22"/>
        </w:rPr>
        <w:t>Revenue from the Crown</w:t>
      </w:r>
    </w:p>
    <w:p w:rsidR="007B3550" w:rsidRPr="006552E9" w:rsidRDefault="007B3550" w:rsidP="007B3550">
      <w:pPr>
        <w:rPr>
          <w:rFonts w:cs="Arial"/>
          <w:szCs w:val="22"/>
        </w:rPr>
      </w:pPr>
      <w:r w:rsidRPr="006552E9">
        <w:rPr>
          <w:rFonts w:cs="Arial"/>
          <w:szCs w:val="22"/>
        </w:rPr>
        <w:t>Creative New Zealand</w:t>
      </w:r>
      <w:r w:rsidRPr="006552E9">
        <w:rPr>
          <w:rFonts w:cs="Arial"/>
          <w:sz w:val="20"/>
        </w:rPr>
        <w:t xml:space="preserve"> </w:t>
      </w:r>
      <w:r w:rsidRPr="006552E9">
        <w:rPr>
          <w:rFonts w:cs="Arial"/>
          <w:szCs w:val="22"/>
        </w:rPr>
        <w:t xml:space="preserve">receives a significant amount of its funding from the Crown, which is restricted in its use for the purpose of meeting its objectives as specified in the </w:t>
      </w:r>
      <w:r w:rsidR="00AD2240">
        <w:rPr>
          <w:rFonts w:cs="Arial"/>
          <w:szCs w:val="22"/>
        </w:rPr>
        <w:t>SOI</w:t>
      </w:r>
      <w:r w:rsidR="00BC6FDE">
        <w:rPr>
          <w:rFonts w:cs="Arial"/>
          <w:szCs w:val="22"/>
        </w:rPr>
        <w:t xml:space="preserve"> 2012–15</w:t>
      </w:r>
      <w:r w:rsidR="00AD2240">
        <w:rPr>
          <w:rFonts w:cs="Arial"/>
          <w:szCs w:val="22"/>
        </w:rPr>
        <w:t>.</w:t>
      </w:r>
    </w:p>
    <w:p w:rsidR="007B3550" w:rsidRPr="006552E9" w:rsidRDefault="007B3550" w:rsidP="007B3550">
      <w:pPr>
        <w:rPr>
          <w:rFonts w:cs="Arial"/>
          <w:szCs w:val="22"/>
        </w:rPr>
      </w:pPr>
      <w:r w:rsidRPr="006552E9">
        <w:rPr>
          <w:rFonts w:cs="Arial"/>
          <w:szCs w:val="22"/>
        </w:rPr>
        <w:t>Revenue from the Crown is recognised as revenue when earned and is reported in the financial period to which it relates.</w:t>
      </w:r>
    </w:p>
    <w:p w:rsidR="007B3550" w:rsidRPr="006552E9" w:rsidRDefault="007B3550" w:rsidP="007B3550">
      <w:pPr>
        <w:rPr>
          <w:rFonts w:cs="Arial"/>
          <w:i/>
          <w:szCs w:val="22"/>
        </w:rPr>
      </w:pPr>
      <w:r w:rsidRPr="006552E9">
        <w:rPr>
          <w:rFonts w:cs="Arial"/>
          <w:i/>
          <w:szCs w:val="22"/>
        </w:rPr>
        <w:t>Other grants</w:t>
      </w:r>
    </w:p>
    <w:p w:rsidR="007B3550" w:rsidRPr="006552E9" w:rsidRDefault="007B3550" w:rsidP="007B3550">
      <w:pPr>
        <w:rPr>
          <w:rFonts w:cs="Arial"/>
          <w:szCs w:val="22"/>
        </w:rPr>
      </w:pPr>
      <w:r w:rsidRPr="006552E9">
        <w:rPr>
          <w:rFonts w:cs="Arial"/>
          <w:szCs w:val="22"/>
        </w:rPr>
        <w:t>Creative New Zealand</w:t>
      </w:r>
      <w:r w:rsidRPr="006552E9">
        <w:rPr>
          <w:rFonts w:cs="Arial"/>
          <w:sz w:val="20"/>
        </w:rPr>
        <w:t xml:space="preserve"> </w:t>
      </w:r>
      <w:r w:rsidRPr="006552E9">
        <w:rPr>
          <w:rFonts w:cs="Arial"/>
          <w:szCs w:val="22"/>
        </w:rPr>
        <w:t>receives the majority of its funding from the New Zealand Lottery Grants Board. This is recognised as revenue when it becomes receivable unless there is an obligation to return the funds if conditions of the grant are not met. If there is such an obligation, the grants are initially recorded as grants received in advance and recognised as revenue when conditions of the grant are satisfied.</w:t>
      </w:r>
    </w:p>
    <w:p w:rsidR="007B3550" w:rsidRPr="006552E9" w:rsidRDefault="007B3550" w:rsidP="007B3550">
      <w:pPr>
        <w:rPr>
          <w:rFonts w:cs="Arial"/>
          <w:szCs w:val="22"/>
        </w:rPr>
      </w:pPr>
      <w:r w:rsidRPr="006552E9">
        <w:rPr>
          <w:rFonts w:cs="Arial"/>
          <w:szCs w:val="22"/>
        </w:rPr>
        <w:t xml:space="preserve">Revenue received from third parties on the condition that it is used for a particular purpose is recognised in the Statement of Financial Performance only when the funds are spent for the designated purpose. Any unspent funds at the reporting date are included within current liabilities in the Statement of Financial Position and carried forward to the next financial year. </w:t>
      </w:r>
    </w:p>
    <w:p w:rsidR="007B3550" w:rsidRPr="006552E9" w:rsidRDefault="007B3550" w:rsidP="007B3550">
      <w:pPr>
        <w:rPr>
          <w:rFonts w:cs="Arial"/>
          <w:i/>
          <w:szCs w:val="22"/>
        </w:rPr>
      </w:pPr>
      <w:r w:rsidRPr="006552E9">
        <w:rPr>
          <w:rFonts w:cs="Arial"/>
          <w:i/>
          <w:szCs w:val="22"/>
        </w:rPr>
        <w:t>Interest</w:t>
      </w:r>
    </w:p>
    <w:p w:rsidR="007B3550" w:rsidRPr="006552E9" w:rsidRDefault="007B3550" w:rsidP="007B3550">
      <w:pPr>
        <w:rPr>
          <w:rFonts w:cs="Arial"/>
          <w:szCs w:val="22"/>
        </w:rPr>
      </w:pPr>
      <w:r w:rsidRPr="006552E9">
        <w:rPr>
          <w:rFonts w:cs="Arial"/>
          <w:szCs w:val="22"/>
        </w:rPr>
        <w:t xml:space="preserve">Interest income is recognised as it accrues on bank account balances, on-call and </w:t>
      </w:r>
      <w:r w:rsidR="00186401">
        <w:rPr>
          <w:rFonts w:cs="Arial"/>
          <w:szCs w:val="22"/>
        </w:rPr>
        <w:t>short-term</w:t>
      </w:r>
      <w:r w:rsidRPr="006552E9">
        <w:rPr>
          <w:rFonts w:cs="Arial"/>
          <w:szCs w:val="22"/>
        </w:rPr>
        <w:t xml:space="preserve"> deposits, using the effective interest method.</w:t>
      </w:r>
    </w:p>
    <w:p w:rsidR="007B3550" w:rsidRPr="006552E9" w:rsidRDefault="007B3550" w:rsidP="007B3550">
      <w:pPr>
        <w:rPr>
          <w:rFonts w:cs="Arial"/>
          <w:i/>
          <w:szCs w:val="22"/>
        </w:rPr>
      </w:pPr>
      <w:r w:rsidRPr="006552E9">
        <w:rPr>
          <w:rFonts w:cs="Arial"/>
          <w:i/>
          <w:szCs w:val="22"/>
        </w:rPr>
        <w:t>Rental income</w:t>
      </w:r>
    </w:p>
    <w:p w:rsidR="007B3550" w:rsidRPr="006552E9" w:rsidRDefault="007B3550" w:rsidP="007B3550">
      <w:pPr>
        <w:rPr>
          <w:rFonts w:cs="Arial"/>
          <w:szCs w:val="22"/>
        </w:rPr>
      </w:pPr>
      <w:r w:rsidRPr="006552E9">
        <w:rPr>
          <w:rFonts w:cs="Arial"/>
          <w:szCs w:val="22"/>
        </w:rPr>
        <w:t>Rental income is recognised in the Statement of Financial Performance on a straight line basis over the term of the lease.</w:t>
      </w:r>
    </w:p>
    <w:p w:rsidR="007B3550" w:rsidRPr="006552E9" w:rsidRDefault="007B3550" w:rsidP="007B3550">
      <w:pPr>
        <w:pStyle w:val="Heading5"/>
      </w:pPr>
      <w:r w:rsidRPr="006552E9">
        <w:t>1.3.2</w:t>
      </w:r>
      <w:r w:rsidRPr="006552E9">
        <w:tab/>
        <w:t xml:space="preserve">Recognition </w:t>
      </w:r>
      <w:r w:rsidRPr="006552E9">
        <w:rPr>
          <w:szCs w:val="22"/>
        </w:rPr>
        <w:t>of</w:t>
      </w:r>
      <w:r w:rsidRPr="006552E9">
        <w:t xml:space="preserve"> grants and initiatives expenditure</w:t>
      </w:r>
    </w:p>
    <w:p w:rsidR="007B3550" w:rsidRPr="006552E9" w:rsidRDefault="007B3550" w:rsidP="007B3550">
      <w:pPr>
        <w:rPr>
          <w:rFonts w:cs="Arial"/>
          <w:szCs w:val="22"/>
        </w:rPr>
      </w:pPr>
      <w:r w:rsidRPr="006552E9">
        <w:rPr>
          <w:rFonts w:cs="Arial"/>
          <w:szCs w:val="22"/>
        </w:rPr>
        <w:t>Non-discretionary grants are those grants awarded if the grant application meets the specified criteria and are recognised as expenditure when an application that meets the specified criteria for the grant has been received.</w:t>
      </w:r>
    </w:p>
    <w:p w:rsidR="007B3550" w:rsidRPr="006552E9" w:rsidRDefault="007B3550" w:rsidP="007B3550">
      <w:pPr>
        <w:rPr>
          <w:rFonts w:cs="Arial"/>
          <w:szCs w:val="22"/>
        </w:rPr>
      </w:pPr>
      <w:r w:rsidRPr="006552E9">
        <w:rPr>
          <w:rFonts w:cs="Arial"/>
          <w:szCs w:val="22"/>
        </w:rPr>
        <w:t>Discretionary grants are those grants where Creative New Zealand has no obligations to award on receipt of the grant application and are recognised as expenditure when approved by Creative New Zealand and the approval has been communicated to the applicant.</w:t>
      </w:r>
    </w:p>
    <w:p w:rsidR="007B3550" w:rsidRPr="006552E9" w:rsidRDefault="007B3550" w:rsidP="007B3550">
      <w:pPr>
        <w:rPr>
          <w:rFonts w:cs="Arial"/>
          <w:szCs w:val="22"/>
        </w:rPr>
      </w:pPr>
      <w:r w:rsidRPr="006552E9">
        <w:rPr>
          <w:rFonts w:cs="Arial"/>
          <w:szCs w:val="22"/>
        </w:rPr>
        <w:t>The liability disclosed in the Statement of Financial Position represents financial grants to New Zealand artists and arts organisations committed by Creative New Zealand but not paid at balance date.</w:t>
      </w:r>
    </w:p>
    <w:p w:rsidR="007B3550" w:rsidRPr="006552E9" w:rsidRDefault="007B3550" w:rsidP="007B3550">
      <w:pPr>
        <w:rPr>
          <w:rFonts w:cs="Arial"/>
          <w:szCs w:val="22"/>
        </w:rPr>
      </w:pPr>
      <w:r w:rsidRPr="006552E9">
        <w:rPr>
          <w:rFonts w:cs="Arial"/>
          <w:szCs w:val="22"/>
        </w:rPr>
        <w:t>When grants that were committed by Creative New Zealand in previous years are no longer required for the purpose for which they were committed, they are retired and recognised as a gain in the Statement of Financial Performance.</w:t>
      </w:r>
    </w:p>
    <w:p w:rsidR="007B3550" w:rsidRPr="006552E9" w:rsidRDefault="007B3550" w:rsidP="007B3550">
      <w:pPr>
        <w:rPr>
          <w:rFonts w:cs="Arial"/>
          <w:szCs w:val="22"/>
        </w:rPr>
      </w:pPr>
      <w:r w:rsidRPr="006552E9">
        <w:rPr>
          <w:rFonts w:cs="Arial"/>
          <w:szCs w:val="22"/>
        </w:rPr>
        <w:t>During the year, funds may be set aside for Council or board-led projects, known as initiatives. If these funds are not fully expensed at the end of the financial year they are carried forward to the next financial year within current liabilities in the Statement of Financial Position.</w:t>
      </w:r>
    </w:p>
    <w:p w:rsidR="007B3550" w:rsidRPr="006552E9" w:rsidRDefault="007B3550" w:rsidP="007B3550">
      <w:pPr>
        <w:pStyle w:val="Heading5"/>
      </w:pPr>
      <w:r w:rsidRPr="006552E9">
        <w:t>1.3.3</w:t>
      </w:r>
      <w:r w:rsidRPr="006552E9">
        <w:tab/>
        <w:t>Foreign currency transactions</w:t>
      </w:r>
    </w:p>
    <w:p w:rsidR="007B3550" w:rsidRPr="006552E9" w:rsidRDefault="007B3550" w:rsidP="007B3550">
      <w:pPr>
        <w:rPr>
          <w:rFonts w:cs="Arial"/>
          <w:szCs w:val="22"/>
        </w:rPr>
      </w:pPr>
      <w:r w:rsidRPr="006552E9">
        <w:rPr>
          <w:rFonts w:cs="Arial"/>
          <w:szCs w:val="22"/>
        </w:rPr>
        <w:t>Foreign currency transactions are translated into New Zealand dollars using the exchange rates prevailing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rsidR="007B3550" w:rsidRPr="006552E9" w:rsidRDefault="007B3550" w:rsidP="007B3550">
      <w:pPr>
        <w:pStyle w:val="Heading5"/>
      </w:pPr>
      <w:r w:rsidRPr="006552E9">
        <w:t>1.3.4</w:t>
      </w:r>
      <w:r w:rsidRPr="006552E9">
        <w:tab/>
        <w:t>Leases</w:t>
      </w:r>
    </w:p>
    <w:p w:rsidR="007B3550" w:rsidRPr="006552E9" w:rsidRDefault="007B3550" w:rsidP="007B3550">
      <w:pPr>
        <w:rPr>
          <w:rFonts w:cs="Arial"/>
          <w:szCs w:val="22"/>
        </w:rPr>
      </w:pPr>
      <w:r w:rsidRPr="006552E9">
        <w:rPr>
          <w:rFonts w:cs="Arial"/>
          <w:szCs w:val="22"/>
        </w:rPr>
        <w:t>Creative New Zealand leases office premises in Auckland and Rotorua, video conferencing equipment, photocopiers, facsimile machines and printers.</w:t>
      </w:r>
    </w:p>
    <w:p w:rsidR="007B3550" w:rsidRPr="006552E9" w:rsidRDefault="007B3550" w:rsidP="007B3550">
      <w:pPr>
        <w:rPr>
          <w:rFonts w:cs="Arial"/>
          <w:szCs w:val="22"/>
        </w:rPr>
      </w:pPr>
      <w:r w:rsidRPr="006552E9">
        <w:rPr>
          <w:rFonts w:cs="Arial"/>
          <w:szCs w:val="22"/>
        </w:rPr>
        <w:t>These leases, where the lessor effectively retains substantially all the risks and benefits of ownership of the leased items, are classified as operating leases. Lease payments under an operating lease are recognised as an expense on a straight line basis over the term of the lease in the Statement of Financial Performance.</w:t>
      </w:r>
    </w:p>
    <w:p w:rsidR="007B3550" w:rsidRPr="006552E9" w:rsidRDefault="007B3550" w:rsidP="007B3550">
      <w:pPr>
        <w:rPr>
          <w:rFonts w:cs="Arial"/>
          <w:szCs w:val="22"/>
        </w:rPr>
      </w:pPr>
      <w:r w:rsidRPr="006552E9">
        <w:rPr>
          <w:rFonts w:cs="Arial"/>
          <w:szCs w:val="22"/>
        </w:rPr>
        <w:t>Creative New Zealand does not have any finance lease arrangements.</w:t>
      </w:r>
    </w:p>
    <w:p w:rsidR="007B3550" w:rsidRPr="006552E9" w:rsidRDefault="007B3550" w:rsidP="007B3550">
      <w:pPr>
        <w:pStyle w:val="Heading5"/>
      </w:pPr>
      <w:r w:rsidRPr="006552E9">
        <w:t>1.3.5</w:t>
      </w:r>
      <w:r w:rsidRPr="006552E9">
        <w:tab/>
        <w:t>Cash and cash equivalents</w:t>
      </w:r>
    </w:p>
    <w:p w:rsidR="007B3550" w:rsidRPr="006552E9" w:rsidRDefault="007B3550" w:rsidP="007B3550">
      <w:pPr>
        <w:rPr>
          <w:rFonts w:cs="Arial"/>
          <w:szCs w:val="22"/>
        </w:rPr>
      </w:pPr>
      <w:r w:rsidRPr="006552E9">
        <w:rPr>
          <w:rFonts w:cs="Arial"/>
          <w:szCs w:val="22"/>
        </w:rPr>
        <w:t xml:space="preserve">Cash and cash equivalents held by Creative New Zealand include bank balances, on-call bank deposits and </w:t>
      </w:r>
      <w:r w:rsidR="00186401">
        <w:rPr>
          <w:rFonts w:cs="Arial"/>
          <w:szCs w:val="22"/>
        </w:rPr>
        <w:t>short-term</w:t>
      </w:r>
      <w:r w:rsidRPr="006552E9">
        <w:rPr>
          <w:rFonts w:cs="Arial"/>
          <w:szCs w:val="22"/>
        </w:rPr>
        <w:t xml:space="preserve"> deposits with original maturities of three months or less that are readily convertible to known amounts of cash and that are subject to an insignificant risk of changes in value.</w:t>
      </w:r>
    </w:p>
    <w:p w:rsidR="007B3550" w:rsidRPr="006552E9" w:rsidRDefault="007B3550" w:rsidP="007B3550">
      <w:pPr>
        <w:pStyle w:val="Heading5"/>
      </w:pPr>
      <w:r w:rsidRPr="006552E9">
        <w:t>1.3.6</w:t>
      </w:r>
      <w:r w:rsidRPr="006552E9">
        <w:tab/>
        <w:t>Investments</w:t>
      </w:r>
    </w:p>
    <w:p w:rsidR="007B3550" w:rsidRPr="006552E9" w:rsidRDefault="007B3550" w:rsidP="007B3550">
      <w:pPr>
        <w:rPr>
          <w:rFonts w:cs="Arial"/>
          <w:i/>
          <w:szCs w:val="22"/>
        </w:rPr>
      </w:pPr>
      <w:r w:rsidRPr="006552E9">
        <w:rPr>
          <w:rFonts w:cs="Arial"/>
          <w:i/>
          <w:szCs w:val="22"/>
        </w:rPr>
        <w:t xml:space="preserve">Bank </w:t>
      </w:r>
      <w:r w:rsidR="00BC6FDE" w:rsidRPr="006552E9">
        <w:rPr>
          <w:rFonts w:cs="Arial"/>
          <w:i/>
          <w:szCs w:val="22"/>
        </w:rPr>
        <w:t>deposits</w:t>
      </w:r>
    </w:p>
    <w:p w:rsidR="007B3550" w:rsidRPr="006552E9" w:rsidRDefault="007B3550" w:rsidP="007B3550">
      <w:pPr>
        <w:rPr>
          <w:rFonts w:cs="Arial"/>
          <w:szCs w:val="22"/>
        </w:rPr>
      </w:pPr>
      <w:r w:rsidRPr="006552E9">
        <w:rPr>
          <w:rFonts w:cs="Arial"/>
          <w:szCs w:val="22"/>
        </w:rPr>
        <w:t>Investments in bank deposits are initially measured at fair value plus transaction costs. After initial recognition, investments in bank deposits are measured at amortised cost using the effective interest method, less any provision for impairment.</w:t>
      </w:r>
    </w:p>
    <w:p w:rsidR="007B3550" w:rsidRPr="006552E9" w:rsidRDefault="007B3550" w:rsidP="007B3550">
      <w:pPr>
        <w:pStyle w:val="Heading5"/>
      </w:pPr>
      <w:r w:rsidRPr="006552E9">
        <w:t>1.3.7</w:t>
      </w:r>
      <w:r w:rsidRPr="006552E9">
        <w:tab/>
        <w:t>Debtors and other receivables</w:t>
      </w:r>
    </w:p>
    <w:p w:rsidR="007B3550" w:rsidRPr="006552E9" w:rsidRDefault="007B3550" w:rsidP="007B3550">
      <w:pPr>
        <w:rPr>
          <w:rFonts w:cs="Arial"/>
          <w:szCs w:val="22"/>
        </w:rPr>
      </w:pPr>
      <w:r w:rsidRPr="006552E9">
        <w:rPr>
          <w:rFonts w:cs="Arial"/>
          <w:szCs w:val="22"/>
        </w:rPr>
        <w:t>Debtors and other receivables are recognised initially at fair value and subsequently measured at amortised cost using the effective interest method, less any allowance for impairment.</w:t>
      </w:r>
    </w:p>
    <w:p w:rsidR="007B3550" w:rsidRPr="006552E9" w:rsidRDefault="007B3550" w:rsidP="007B3550">
      <w:pPr>
        <w:rPr>
          <w:rFonts w:cs="Arial"/>
          <w:szCs w:val="22"/>
        </w:rPr>
      </w:pPr>
      <w:r w:rsidRPr="006552E9">
        <w:rPr>
          <w:rFonts w:cs="Arial"/>
          <w:szCs w:val="22"/>
        </w:rPr>
        <w:t xml:space="preserve">Collectability of receivables is reviewed on an ongoing basis. An impairment provision is recognised when there is objective evidence that Creative New Zealand will not be able to collect amounts due according to the original terms of the receivable. Significant financial difficulties of the debtor, probability that the debtor will enter into a bankruptcy, receivership or liquidation, and default in payments are considered indicators that the debt is impaired. The amount of the impairment is the difference between the asset’s carrying amount and the present value of estimated future </w:t>
      </w:r>
      <w:r w:rsidR="008F45DE">
        <w:rPr>
          <w:rFonts w:cs="Arial"/>
          <w:szCs w:val="22"/>
        </w:rPr>
        <w:t>cash flow</w:t>
      </w:r>
      <w:r w:rsidRPr="006552E9">
        <w:rPr>
          <w:rFonts w:cs="Arial"/>
          <w:szCs w:val="22"/>
        </w:rPr>
        <w:t>s, discounted using the original effective interest rate. The carrying amount of the asset is reduced through the use of an allowance account, and the amount of the loss is recognised in the surplus or deficit. When the receivable is uncollectible, it is written</w:t>
      </w:r>
      <w:r w:rsidR="00877D63">
        <w:rPr>
          <w:rFonts w:cs="Arial"/>
          <w:szCs w:val="22"/>
        </w:rPr>
        <w:t xml:space="preserve"> </w:t>
      </w:r>
      <w:r w:rsidRPr="006552E9">
        <w:rPr>
          <w:rFonts w:cs="Arial"/>
          <w:szCs w:val="22"/>
        </w:rPr>
        <w:t xml:space="preserve">off against the allowance account for receivables. </w:t>
      </w:r>
    </w:p>
    <w:p w:rsidR="007B3550" w:rsidRPr="006552E9" w:rsidRDefault="007B3550" w:rsidP="007B3550">
      <w:pPr>
        <w:pStyle w:val="Heading5"/>
      </w:pPr>
      <w:r w:rsidRPr="006552E9">
        <w:t>1.3.8</w:t>
      </w:r>
      <w:r w:rsidRPr="006552E9">
        <w:tab/>
        <w:t>Property, plant and equipment</w:t>
      </w:r>
    </w:p>
    <w:p w:rsidR="007B3550" w:rsidRPr="006552E9" w:rsidRDefault="007B3550" w:rsidP="007B3550">
      <w:pPr>
        <w:rPr>
          <w:rFonts w:cs="Arial"/>
          <w:szCs w:val="22"/>
        </w:rPr>
      </w:pPr>
      <w:r w:rsidRPr="006552E9">
        <w:rPr>
          <w:rFonts w:cs="Arial"/>
          <w:szCs w:val="22"/>
        </w:rPr>
        <w:t>Property, plant and equipment is shown at cost or valuation, less accumulated depreciation and impairment losses.</w:t>
      </w:r>
    </w:p>
    <w:p w:rsidR="007B3550" w:rsidRPr="006552E9" w:rsidRDefault="007B3550" w:rsidP="007B3550">
      <w:pPr>
        <w:rPr>
          <w:rFonts w:cs="Arial"/>
          <w:i/>
          <w:szCs w:val="22"/>
        </w:rPr>
      </w:pPr>
      <w:r w:rsidRPr="006552E9">
        <w:rPr>
          <w:rFonts w:cs="Arial"/>
          <w:i/>
          <w:szCs w:val="22"/>
        </w:rPr>
        <w:t>Revaluation</w:t>
      </w:r>
    </w:p>
    <w:p w:rsidR="007B3550" w:rsidRPr="006552E9" w:rsidRDefault="007B3550" w:rsidP="007B3550">
      <w:pPr>
        <w:rPr>
          <w:rFonts w:cs="Arial"/>
          <w:szCs w:val="22"/>
        </w:rPr>
      </w:pPr>
      <w:r w:rsidRPr="006552E9">
        <w:rPr>
          <w:rFonts w:cs="Arial"/>
          <w:szCs w:val="22"/>
        </w:rPr>
        <w:t>Land and buildings are revalued with sufficient regularity to ensure that the carrying amount does not differ materially from fair value and at least every three years. Fair value is determined from market</w:t>
      </w:r>
      <w:r w:rsidR="007471AE">
        <w:rPr>
          <w:rFonts w:cs="Arial"/>
          <w:szCs w:val="22"/>
        </w:rPr>
        <w:t xml:space="preserve"> based</w:t>
      </w:r>
      <w:r w:rsidRPr="006552E9">
        <w:rPr>
          <w:rFonts w:cs="Arial"/>
          <w:szCs w:val="22"/>
        </w:rPr>
        <w:t xml:space="preserve"> evidence by an independent registered valuer. All other asset classes are carried at depreciated historical cost.</w:t>
      </w:r>
    </w:p>
    <w:p w:rsidR="007B3550" w:rsidRPr="006552E9" w:rsidRDefault="007B3550" w:rsidP="007B3550">
      <w:pPr>
        <w:rPr>
          <w:rFonts w:cs="Arial"/>
          <w:szCs w:val="22"/>
        </w:rPr>
      </w:pPr>
      <w:r w:rsidRPr="006552E9">
        <w:rPr>
          <w:rFonts w:cs="Arial"/>
          <w:szCs w:val="22"/>
        </w:rPr>
        <w:t xml:space="preserve">The carrying values of revalued assets are assessed annually to ensure that they do not differ materially from the assets’ fair values. </w:t>
      </w:r>
    </w:p>
    <w:p w:rsidR="007B3550" w:rsidRPr="006552E9" w:rsidRDefault="007B3550" w:rsidP="007B3550">
      <w:pPr>
        <w:rPr>
          <w:rFonts w:cs="Arial"/>
          <w:szCs w:val="22"/>
        </w:rPr>
      </w:pPr>
      <w:r w:rsidRPr="006552E9">
        <w:rPr>
          <w:rFonts w:cs="Arial"/>
          <w:szCs w:val="22"/>
        </w:rPr>
        <w:t>The net revaluation results are credited or debited to other comprehensive income and are accumulated to an asset revaluation reserve in equity for that class of assets. Where this would result in a debit balance in the asset revaluation reserve, this balance is not recognised in other comprehensive income but is recognised in the Statement of Financial Performance. Any subsequent increase on revaluation that reverses a previous decrease in value recognised in the Statement of Financial Performance will be recognised first in the Statement of Financial Performance, up to the amount previously expensed, and then recognised in other comprehensive income.</w:t>
      </w:r>
    </w:p>
    <w:p w:rsidR="007B3550" w:rsidRPr="006552E9" w:rsidRDefault="007B3550" w:rsidP="007B3550">
      <w:pPr>
        <w:rPr>
          <w:rFonts w:cs="Arial"/>
          <w:i/>
          <w:szCs w:val="22"/>
        </w:rPr>
      </w:pPr>
      <w:r w:rsidRPr="006552E9">
        <w:rPr>
          <w:rFonts w:cs="Arial"/>
          <w:i/>
          <w:szCs w:val="22"/>
        </w:rPr>
        <w:t>Additions</w:t>
      </w:r>
    </w:p>
    <w:p w:rsidR="007B3550" w:rsidRPr="006552E9" w:rsidRDefault="007B3550" w:rsidP="007B3550">
      <w:pPr>
        <w:rPr>
          <w:rFonts w:cs="Arial"/>
          <w:szCs w:val="22"/>
        </w:rPr>
      </w:pPr>
      <w:r w:rsidRPr="006552E9">
        <w:rPr>
          <w:rFonts w:cs="Arial"/>
          <w:szCs w:val="22"/>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rsidR="007B3550" w:rsidRPr="006552E9" w:rsidRDefault="007B3550" w:rsidP="007B3550">
      <w:pPr>
        <w:rPr>
          <w:rFonts w:cs="Arial"/>
          <w:szCs w:val="22"/>
        </w:rPr>
      </w:pPr>
      <w:r w:rsidRPr="006552E9">
        <w:rPr>
          <w:rFonts w:cs="Arial"/>
          <w:szCs w:val="22"/>
        </w:rPr>
        <w:t>Where an asset is acquired at no cost, or for a nominal cost, it is recognised at fair value when control over the asset is obtained.</w:t>
      </w:r>
    </w:p>
    <w:p w:rsidR="007B3550" w:rsidRPr="006552E9" w:rsidRDefault="007B3550" w:rsidP="007B3550">
      <w:pPr>
        <w:rPr>
          <w:rFonts w:cs="Arial"/>
          <w:i/>
          <w:szCs w:val="22"/>
        </w:rPr>
      </w:pPr>
      <w:r w:rsidRPr="006552E9">
        <w:rPr>
          <w:rFonts w:cs="Arial"/>
          <w:i/>
          <w:szCs w:val="22"/>
        </w:rPr>
        <w:t>Disposals</w:t>
      </w:r>
    </w:p>
    <w:p w:rsidR="007B3550" w:rsidRPr="006552E9" w:rsidRDefault="007B3550" w:rsidP="007B3550">
      <w:pPr>
        <w:rPr>
          <w:rFonts w:cs="Arial"/>
          <w:szCs w:val="22"/>
        </w:rPr>
      </w:pPr>
      <w:r w:rsidRPr="006552E9">
        <w:rPr>
          <w:rFonts w:cs="Arial"/>
          <w:szCs w:val="22"/>
        </w:rPr>
        <w:t>Gains and losses on disposals are determined by comparing the disposal proceeds with the carrying amount of the asset. Gains and losses on disposals are included in the Statement of Financial Performance.</w:t>
      </w:r>
    </w:p>
    <w:p w:rsidR="007B3550" w:rsidRPr="006552E9" w:rsidRDefault="007B3550" w:rsidP="007B3550">
      <w:pPr>
        <w:rPr>
          <w:rFonts w:cs="Arial"/>
          <w:szCs w:val="22"/>
        </w:rPr>
      </w:pPr>
      <w:r w:rsidRPr="006552E9">
        <w:rPr>
          <w:rFonts w:cs="Arial"/>
          <w:szCs w:val="22"/>
        </w:rPr>
        <w:t>When revalued assets are sold, the amounts included in asset revaluation reserves in respect of those assets are transferred to accumulated funds.</w:t>
      </w:r>
    </w:p>
    <w:p w:rsidR="007B3550" w:rsidRPr="006552E9" w:rsidRDefault="007B3550" w:rsidP="006F3E33">
      <w:pPr>
        <w:keepNext/>
        <w:rPr>
          <w:rFonts w:cs="Arial"/>
          <w:i/>
          <w:szCs w:val="22"/>
        </w:rPr>
      </w:pPr>
      <w:r w:rsidRPr="006552E9">
        <w:rPr>
          <w:rFonts w:cs="Arial"/>
          <w:i/>
          <w:szCs w:val="22"/>
        </w:rPr>
        <w:t>Subsequent costs</w:t>
      </w:r>
    </w:p>
    <w:p w:rsidR="007B3550" w:rsidRPr="006552E9" w:rsidRDefault="007B3550" w:rsidP="007B3550">
      <w:pPr>
        <w:rPr>
          <w:rFonts w:cs="Arial"/>
          <w:szCs w:val="22"/>
        </w:rPr>
      </w:pPr>
      <w:r w:rsidRPr="006552E9">
        <w:rPr>
          <w:rFonts w:cs="Arial"/>
          <w:szCs w:val="22"/>
        </w:rPr>
        <w:t>Costs incurred subsequent to initial acquisition are capitalised only when it is probable that future economic benefits or service potential associated with the item will flow to Creative New Zealand and the cost of the item can be measured reliably.</w:t>
      </w:r>
    </w:p>
    <w:p w:rsidR="007B3550" w:rsidRPr="006552E9" w:rsidRDefault="007B3550" w:rsidP="007B3550">
      <w:pPr>
        <w:rPr>
          <w:rFonts w:cs="Arial"/>
          <w:szCs w:val="22"/>
        </w:rPr>
      </w:pPr>
      <w:r w:rsidRPr="006552E9">
        <w:rPr>
          <w:rFonts w:cs="Arial"/>
          <w:szCs w:val="22"/>
        </w:rPr>
        <w:t>The costs of day-to-day servicing of property, plant and equipment are recognised in the Statement of Financial Performance as they are incurred.</w:t>
      </w:r>
    </w:p>
    <w:p w:rsidR="007B3550" w:rsidRPr="006552E9" w:rsidRDefault="007B3550" w:rsidP="007B3550">
      <w:pPr>
        <w:ind w:left="360" w:hanging="360"/>
        <w:rPr>
          <w:rFonts w:cs="Arial"/>
          <w:i/>
          <w:szCs w:val="22"/>
        </w:rPr>
      </w:pPr>
      <w:r w:rsidRPr="006552E9">
        <w:rPr>
          <w:rFonts w:cs="Arial"/>
          <w:i/>
          <w:szCs w:val="22"/>
        </w:rPr>
        <w:t>Depreciation</w:t>
      </w:r>
    </w:p>
    <w:p w:rsidR="007B3550" w:rsidRPr="006552E9" w:rsidRDefault="007B3550" w:rsidP="007B3550">
      <w:pPr>
        <w:rPr>
          <w:rFonts w:cs="Arial"/>
          <w:szCs w:val="22"/>
        </w:rPr>
      </w:pPr>
      <w:r w:rsidRPr="006552E9">
        <w:rPr>
          <w:rFonts w:cs="Arial"/>
          <w:szCs w:val="22"/>
        </w:rPr>
        <w:t>Depreciation is provided on a straight line basis on all property, plant and equipment, other than freehold</w:t>
      </w:r>
      <w:r w:rsidR="00877D63">
        <w:rPr>
          <w:rFonts w:cs="Arial"/>
          <w:szCs w:val="22"/>
        </w:rPr>
        <w:t xml:space="preserve"> land, at rates that will write </w:t>
      </w:r>
      <w:r w:rsidRPr="006552E9">
        <w:rPr>
          <w:rFonts w:cs="Arial"/>
          <w:szCs w:val="22"/>
        </w:rPr>
        <w:t>off the cost (or valuation) of the assets to their estimated residual value over their useful lives.</w:t>
      </w:r>
    </w:p>
    <w:p w:rsidR="007B3550" w:rsidRPr="006552E9" w:rsidRDefault="007B3550" w:rsidP="007B3550">
      <w:pPr>
        <w:rPr>
          <w:rFonts w:cs="Arial"/>
          <w:szCs w:val="22"/>
        </w:rPr>
      </w:pPr>
      <w:r w:rsidRPr="006552E9">
        <w:rPr>
          <w:rFonts w:cs="Arial"/>
          <w:szCs w:val="22"/>
        </w:rPr>
        <w:t>The useful lives and associated depreciation rates of major classes of assets have been estimated as follows.</w:t>
      </w:r>
    </w:p>
    <w:p w:rsidR="007B3550" w:rsidRPr="006552E9" w:rsidRDefault="007B3550" w:rsidP="007B3550">
      <w:pPr>
        <w:pStyle w:val="Footer"/>
        <w:tabs>
          <w:tab w:val="clear" w:pos="4153"/>
          <w:tab w:val="clear" w:pos="8306"/>
        </w:tabs>
        <w:spacing w:before="0"/>
        <w:rPr>
          <w:rFonts w:cs="Arial"/>
          <w:szCs w:val="22"/>
        </w:rPr>
      </w:pPr>
    </w:p>
    <w:tbl>
      <w:tblPr>
        <w:tblW w:w="0" w:type="auto"/>
        <w:tblInd w:w="250" w:type="dxa"/>
        <w:tblLayout w:type="fixed"/>
        <w:tblCellMar>
          <w:top w:w="57" w:type="dxa"/>
          <w:bottom w:w="57" w:type="dxa"/>
        </w:tblCellMar>
        <w:tblLook w:val="00A0" w:firstRow="1" w:lastRow="0" w:firstColumn="1" w:lastColumn="0" w:noHBand="0" w:noVBand="0"/>
      </w:tblPr>
      <w:tblGrid>
        <w:gridCol w:w="3544"/>
        <w:gridCol w:w="2410"/>
        <w:gridCol w:w="2956"/>
      </w:tblGrid>
      <w:tr w:rsidR="007B3550" w:rsidRPr="006552E9" w:rsidTr="007B3550">
        <w:tc>
          <w:tcPr>
            <w:tcW w:w="3544" w:type="dxa"/>
          </w:tcPr>
          <w:p w:rsidR="007B3550" w:rsidRPr="006552E9" w:rsidRDefault="007B3550" w:rsidP="007B3550">
            <w:pPr>
              <w:pStyle w:val="Tabletext"/>
            </w:pPr>
            <w:r w:rsidRPr="006552E9">
              <w:t>Land</w:t>
            </w:r>
          </w:p>
        </w:tc>
        <w:tc>
          <w:tcPr>
            <w:tcW w:w="2410" w:type="dxa"/>
          </w:tcPr>
          <w:p w:rsidR="007B3550" w:rsidRPr="006552E9" w:rsidRDefault="007B3550" w:rsidP="007B3550">
            <w:pPr>
              <w:pStyle w:val="Tabletext"/>
            </w:pPr>
            <w:r w:rsidRPr="006552E9">
              <w:t>Not depreciated</w:t>
            </w:r>
          </w:p>
        </w:tc>
        <w:tc>
          <w:tcPr>
            <w:tcW w:w="2956" w:type="dxa"/>
          </w:tcPr>
          <w:p w:rsidR="007B3550" w:rsidRPr="006552E9" w:rsidRDefault="007B3550" w:rsidP="007B3550">
            <w:pPr>
              <w:pStyle w:val="Tabletext"/>
            </w:pPr>
          </w:p>
        </w:tc>
      </w:tr>
      <w:tr w:rsidR="007B3550" w:rsidRPr="006552E9" w:rsidTr="007B3550">
        <w:tc>
          <w:tcPr>
            <w:tcW w:w="3544" w:type="dxa"/>
          </w:tcPr>
          <w:p w:rsidR="007B3550" w:rsidRPr="006552E9" w:rsidRDefault="007B3550" w:rsidP="007B3550">
            <w:pPr>
              <w:pStyle w:val="Tabletext"/>
            </w:pPr>
            <w:r w:rsidRPr="006552E9">
              <w:t>Building</w:t>
            </w:r>
          </w:p>
        </w:tc>
        <w:tc>
          <w:tcPr>
            <w:tcW w:w="2410" w:type="dxa"/>
          </w:tcPr>
          <w:p w:rsidR="007B3550" w:rsidRPr="006552E9" w:rsidRDefault="007B3550" w:rsidP="007B3550">
            <w:pPr>
              <w:pStyle w:val="Tabletext"/>
            </w:pPr>
            <w:r w:rsidRPr="006552E9">
              <w:t>35 years</w:t>
            </w:r>
          </w:p>
        </w:tc>
        <w:tc>
          <w:tcPr>
            <w:tcW w:w="2956" w:type="dxa"/>
          </w:tcPr>
          <w:p w:rsidR="007B3550" w:rsidRPr="006552E9" w:rsidRDefault="007B3550" w:rsidP="007B3550">
            <w:pPr>
              <w:pStyle w:val="Tabletext"/>
            </w:pPr>
            <w:r w:rsidRPr="006552E9">
              <w:t>2.9</w:t>
            </w:r>
            <w:r w:rsidR="0016706E">
              <w:t xml:space="preserve"> percent</w:t>
            </w:r>
          </w:p>
        </w:tc>
      </w:tr>
      <w:tr w:rsidR="007B3550" w:rsidRPr="006552E9" w:rsidTr="007B3550">
        <w:tc>
          <w:tcPr>
            <w:tcW w:w="3544" w:type="dxa"/>
          </w:tcPr>
          <w:p w:rsidR="007B3550" w:rsidRPr="006552E9" w:rsidRDefault="007B3550" w:rsidP="007B3550">
            <w:pPr>
              <w:pStyle w:val="Tabletext"/>
            </w:pPr>
            <w:r w:rsidRPr="006552E9">
              <w:t>Building improvements</w:t>
            </w:r>
            <w:r w:rsidRPr="006552E9">
              <w:tab/>
            </w:r>
          </w:p>
        </w:tc>
        <w:tc>
          <w:tcPr>
            <w:tcW w:w="2410" w:type="dxa"/>
          </w:tcPr>
          <w:p w:rsidR="007B3550" w:rsidRPr="006552E9" w:rsidRDefault="007B3550" w:rsidP="007B3550">
            <w:pPr>
              <w:pStyle w:val="Tabletext"/>
            </w:pPr>
            <w:r w:rsidRPr="006552E9">
              <w:t>10 or 35 years</w:t>
            </w:r>
          </w:p>
        </w:tc>
        <w:tc>
          <w:tcPr>
            <w:tcW w:w="2956" w:type="dxa"/>
          </w:tcPr>
          <w:p w:rsidR="007B3550" w:rsidRPr="006552E9" w:rsidRDefault="007B3550" w:rsidP="007B3550">
            <w:pPr>
              <w:pStyle w:val="Tabletext"/>
            </w:pPr>
            <w:r w:rsidRPr="006552E9">
              <w:t>10</w:t>
            </w:r>
            <w:r w:rsidR="0016706E">
              <w:t xml:space="preserve"> percent</w:t>
            </w:r>
            <w:r w:rsidRPr="006552E9">
              <w:t xml:space="preserve"> or 2.9</w:t>
            </w:r>
            <w:r w:rsidR="0016706E">
              <w:t xml:space="preserve"> percent</w:t>
            </w:r>
          </w:p>
        </w:tc>
      </w:tr>
      <w:tr w:rsidR="007B3550" w:rsidRPr="006552E9" w:rsidTr="007B3550">
        <w:tc>
          <w:tcPr>
            <w:tcW w:w="3544" w:type="dxa"/>
          </w:tcPr>
          <w:p w:rsidR="007B3550" w:rsidRPr="006552E9" w:rsidRDefault="007B3550" w:rsidP="007B3550">
            <w:pPr>
              <w:pStyle w:val="Tabletext"/>
            </w:pPr>
            <w:r w:rsidRPr="006552E9">
              <w:t>Furniture, equipment and fittings</w:t>
            </w:r>
          </w:p>
        </w:tc>
        <w:tc>
          <w:tcPr>
            <w:tcW w:w="2410" w:type="dxa"/>
          </w:tcPr>
          <w:p w:rsidR="007B3550" w:rsidRPr="006552E9" w:rsidRDefault="007B3550" w:rsidP="007B3550">
            <w:pPr>
              <w:pStyle w:val="Tabletext"/>
            </w:pPr>
            <w:r w:rsidRPr="006552E9">
              <w:t>10 years</w:t>
            </w:r>
            <w:r w:rsidRPr="006552E9">
              <w:tab/>
            </w:r>
          </w:p>
        </w:tc>
        <w:tc>
          <w:tcPr>
            <w:tcW w:w="2956" w:type="dxa"/>
          </w:tcPr>
          <w:p w:rsidR="007B3550" w:rsidRPr="006552E9" w:rsidRDefault="007B3550" w:rsidP="007B3550">
            <w:pPr>
              <w:pStyle w:val="Tabletext"/>
            </w:pPr>
            <w:r w:rsidRPr="006552E9">
              <w:t>10</w:t>
            </w:r>
            <w:r w:rsidR="0016706E">
              <w:t xml:space="preserve"> percent</w:t>
            </w:r>
          </w:p>
        </w:tc>
      </w:tr>
      <w:tr w:rsidR="007B3550" w:rsidRPr="006552E9" w:rsidTr="007B3550">
        <w:tc>
          <w:tcPr>
            <w:tcW w:w="3544" w:type="dxa"/>
          </w:tcPr>
          <w:p w:rsidR="007B3550" w:rsidRPr="006552E9" w:rsidRDefault="007B3550" w:rsidP="007B3550">
            <w:pPr>
              <w:pStyle w:val="Tabletext"/>
            </w:pPr>
            <w:r w:rsidRPr="006552E9">
              <w:t>Computer equipment</w:t>
            </w:r>
          </w:p>
        </w:tc>
        <w:tc>
          <w:tcPr>
            <w:tcW w:w="2410" w:type="dxa"/>
          </w:tcPr>
          <w:p w:rsidR="007B3550" w:rsidRPr="006552E9" w:rsidRDefault="007B3550" w:rsidP="007B3550">
            <w:pPr>
              <w:pStyle w:val="Tabletext"/>
            </w:pPr>
            <w:r w:rsidRPr="006552E9">
              <w:t>4 years</w:t>
            </w:r>
          </w:p>
        </w:tc>
        <w:tc>
          <w:tcPr>
            <w:tcW w:w="2956" w:type="dxa"/>
          </w:tcPr>
          <w:p w:rsidR="007B3550" w:rsidRPr="006552E9" w:rsidRDefault="007B3550" w:rsidP="007B3550">
            <w:pPr>
              <w:pStyle w:val="Tabletext"/>
            </w:pPr>
            <w:r w:rsidRPr="006552E9">
              <w:t>25</w:t>
            </w:r>
            <w:r w:rsidR="0016706E">
              <w:t xml:space="preserve"> percent</w:t>
            </w:r>
          </w:p>
        </w:tc>
      </w:tr>
    </w:tbl>
    <w:p w:rsidR="007B3550" w:rsidRPr="006552E9" w:rsidRDefault="007B3550" w:rsidP="007B3550">
      <w:pPr>
        <w:pStyle w:val="Heading5"/>
      </w:pPr>
      <w:r w:rsidRPr="006552E9">
        <w:t xml:space="preserve">1.3.9 </w:t>
      </w:r>
      <w:r w:rsidRPr="006552E9">
        <w:tab/>
        <w:t>Works of art</w:t>
      </w:r>
    </w:p>
    <w:p w:rsidR="007B3550" w:rsidRPr="006552E9" w:rsidRDefault="007B3550" w:rsidP="007B3550">
      <w:pPr>
        <w:rPr>
          <w:rFonts w:cs="Arial"/>
          <w:szCs w:val="22"/>
        </w:rPr>
      </w:pPr>
      <w:r w:rsidRPr="006552E9">
        <w:rPr>
          <w:rFonts w:cs="Arial"/>
          <w:szCs w:val="22"/>
        </w:rPr>
        <w:t>Works of art are revalued with sufficient regularity to ensure that the carrying amount does not differ materially from fair value and at least every three years. Fair value is determined from market</w:t>
      </w:r>
      <w:r w:rsidR="007471AE">
        <w:rPr>
          <w:rFonts w:cs="Arial"/>
          <w:szCs w:val="22"/>
        </w:rPr>
        <w:t xml:space="preserve"> based</w:t>
      </w:r>
      <w:r w:rsidRPr="006552E9">
        <w:rPr>
          <w:rFonts w:cs="Arial"/>
          <w:szCs w:val="22"/>
        </w:rPr>
        <w:t xml:space="preserve"> evidence by an independent valuer. The results of revaluing works of art are credited or debited to an asset revaluation reserve for that class of asset, in the same way as land and buildings.</w:t>
      </w:r>
    </w:p>
    <w:p w:rsidR="007B3550" w:rsidRPr="006552E9" w:rsidRDefault="007B3550" w:rsidP="007B3550">
      <w:pPr>
        <w:rPr>
          <w:rFonts w:cs="Arial"/>
          <w:szCs w:val="22"/>
        </w:rPr>
      </w:pPr>
      <w:r w:rsidRPr="006552E9">
        <w:rPr>
          <w:rFonts w:cs="Arial"/>
          <w:szCs w:val="22"/>
        </w:rPr>
        <w:t xml:space="preserve">Works of art are not depreciated as they have an indeterminate useful life and are expected to appreciate in value over time. The carrying values of revalued works of art are assessed annually to ensure that they do not differ materially from the assets’ fair values. </w:t>
      </w:r>
    </w:p>
    <w:p w:rsidR="007B3550" w:rsidRPr="006552E9" w:rsidRDefault="007B3550" w:rsidP="007B3550">
      <w:pPr>
        <w:pStyle w:val="Heading5"/>
      </w:pPr>
      <w:r w:rsidRPr="006552E9">
        <w:t>1.3.10</w:t>
      </w:r>
      <w:r w:rsidRPr="006552E9">
        <w:tab/>
        <w:t>Investment property</w:t>
      </w:r>
    </w:p>
    <w:p w:rsidR="007B3550" w:rsidRPr="006552E9" w:rsidRDefault="007B3550" w:rsidP="007B3550">
      <w:pPr>
        <w:rPr>
          <w:rFonts w:cs="Arial"/>
          <w:szCs w:val="22"/>
        </w:rPr>
      </w:pPr>
      <w:r w:rsidRPr="006552E9">
        <w:rPr>
          <w:rFonts w:cs="Arial"/>
          <w:szCs w:val="22"/>
        </w:rPr>
        <w:t>Investment property consists of part of the Old Public Trust Building on which rental income is earned.</w:t>
      </w:r>
    </w:p>
    <w:p w:rsidR="007B3550" w:rsidRPr="006552E9" w:rsidRDefault="007B3550" w:rsidP="007B3550">
      <w:pPr>
        <w:rPr>
          <w:rFonts w:cs="Arial"/>
          <w:szCs w:val="22"/>
        </w:rPr>
      </w:pPr>
      <w:r w:rsidRPr="006552E9">
        <w:rPr>
          <w:rFonts w:cs="Arial"/>
          <w:szCs w:val="22"/>
        </w:rPr>
        <w:t>The fair value of Creative New Zealand’s ownership of the premises is determined by an independent registered valuer using market</w:t>
      </w:r>
      <w:r w:rsidR="007471AE">
        <w:rPr>
          <w:rFonts w:cs="Arial"/>
          <w:szCs w:val="22"/>
        </w:rPr>
        <w:t xml:space="preserve"> based</w:t>
      </w:r>
      <w:r w:rsidRPr="006552E9">
        <w:rPr>
          <w:rFonts w:cs="Arial"/>
          <w:szCs w:val="22"/>
        </w:rPr>
        <w:t xml:space="preserve"> evidence. To determine the fair value of the investment property, this valuation has been apportioned between the areas occupied by Creative New Zealand and the areas leased out on the basis of potential net rental income</w:t>
      </w:r>
      <w:r w:rsidR="00877D63">
        <w:rPr>
          <w:rFonts w:cs="Arial"/>
          <w:szCs w:val="22"/>
        </w:rPr>
        <w:t xml:space="preserve"> </w:t>
      </w:r>
      <w:r w:rsidRPr="006552E9">
        <w:rPr>
          <w:rFonts w:cs="Arial"/>
          <w:szCs w:val="22"/>
        </w:rPr>
        <w:t>earning capacity of each area.</w:t>
      </w:r>
    </w:p>
    <w:p w:rsidR="007B3550" w:rsidRPr="006552E9" w:rsidRDefault="007B3550" w:rsidP="007B3550">
      <w:pPr>
        <w:rPr>
          <w:rFonts w:cs="Arial"/>
          <w:szCs w:val="22"/>
        </w:rPr>
      </w:pPr>
      <w:r w:rsidRPr="006552E9">
        <w:rPr>
          <w:rFonts w:cs="Arial"/>
          <w:szCs w:val="22"/>
        </w:rPr>
        <w:t>Any change in the fair value of investment property is recognised in the Statement of Financial Performance in the year of valuation.</w:t>
      </w:r>
    </w:p>
    <w:p w:rsidR="007B3550" w:rsidRPr="006552E9" w:rsidRDefault="007B3550" w:rsidP="006F3E33">
      <w:pPr>
        <w:pStyle w:val="Heading5"/>
      </w:pPr>
      <w:r w:rsidRPr="006552E9">
        <w:t>1.3.11</w:t>
      </w:r>
      <w:r w:rsidRPr="006552E9">
        <w:tab/>
        <w:t>Intangible assets</w:t>
      </w:r>
    </w:p>
    <w:p w:rsidR="007B3550" w:rsidRPr="006552E9" w:rsidRDefault="007B3550" w:rsidP="006F3E33">
      <w:pPr>
        <w:keepNext/>
        <w:ind w:left="360" w:hanging="360"/>
        <w:rPr>
          <w:rFonts w:cs="Arial"/>
          <w:i/>
          <w:szCs w:val="22"/>
        </w:rPr>
      </w:pPr>
      <w:r w:rsidRPr="006552E9">
        <w:rPr>
          <w:rFonts w:cs="Arial"/>
          <w:i/>
          <w:szCs w:val="22"/>
        </w:rPr>
        <w:t>Software acquisition and development</w:t>
      </w:r>
    </w:p>
    <w:p w:rsidR="007B3550" w:rsidRPr="006552E9" w:rsidRDefault="007B3550" w:rsidP="007B3550">
      <w:pPr>
        <w:rPr>
          <w:rFonts w:cs="Arial"/>
          <w:szCs w:val="22"/>
        </w:rPr>
      </w:pPr>
      <w:r w:rsidRPr="006552E9">
        <w:rPr>
          <w:rFonts w:cs="Arial"/>
          <w:szCs w:val="22"/>
        </w:rPr>
        <w:t>Acquired computer software licen</w:t>
      </w:r>
      <w:r w:rsidR="006F3E33">
        <w:rPr>
          <w:rFonts w:cs="Arial"/>
          <w:szCs w:val="22"/>
        </w:rPr>
        <w:t>c</w:t>
      </w:r>
      <w:r w:rsidRPr="006552E9">
        <w:rPr>
          <w:rFonts w:cs="Arial"/>
          <w:szCs w:val="22"/>
        </w:rPr>
        <w:t>es are capitalised on the basis of the costs incurred to acquire and bring to use the specific software.</w:t>
      </w:r>
    </w:p>
    <w:p w:rsidR="007B3550" w:rsidRPr="006552E9" w:rsidRDefault="007B3550" w:rsidP="007B3550">
      <w:pPr>
        <w:rPr>
          <w:rFonts w:cs="Arial"/>
          <w:szCs w:val="22"/>
        </w:rPr>
      </w:pPr>
      <w:r w:rsidRPr="006552E9">
        <w:rPr>
          <w:rFonts w:cs="Arial"/>
          <w:szCs w:val="22"/>
        </w:rPr>
        <w:t xml:space="preserve">Costs that are directly associated with the development of software for internal use are recognised as an intangible asset. Direct costs include the software development, employee costs and an appropriate portion of relevant overheads. </w:t>
      </w:r>
    </w:p>
    <w:p w:rsidR="007B3550" w:rsidRPr="006552E9" w:rsidRDefault="007B3550" w:rsidP="007B3550">
      <w:pPr>
        <w:rPr>
          <w:rFonts w:cs="Arial"/>
          <w:szCs w:val="22"/>
        </w:rPr>
      </w:pPr>
      <w:r w:rsidRPr="006552E9">
        <w:rPr>
          <w:rFonts w:cs="Arial"/>
          <w:szCs w:val="22"/>
        </w:rPr>
        <w:t>Staff training costs are recognised as an expense when incurred. Costs associated with maintaining computer software are recognised as an expense when incurred.</w:t>
      </w:r>
    </w:p>
    <w:p w:rsidR="007B3550" w:rsidRPr="006552E9" w:rsidRDefault="007B3550" w:rsidP="007B3550">
      <w:pPr>
        <w:ind w:left="360" w:hanging="360"/>
        <w:rPr>
          <w:rFonts w:cs="Arial"/>
          <w:i/>
          <w:szCs w:val="22"/>
        </w:rPr>
      </w:pPr>
      <w:r w:rsidRPr="006552E9">
        <w:rPr>
          <w:rFonts w:cs="Arial"/>
          <w:i/>
          <w:szCs w:val="22"/>
        </w:rPr>
        <w:t>Amortisation</w:t>
      </w:r>
    </w:p>
    <w:p w:rsidR="007B3550" w:rsidRPr="006552E9" w:rsidRDefault="007B3550" w:rsidP="007B3550">
      <w:pPr>
        <w:rPr>
          <w:rFonts w:cs="Arial"/>
          <w:szCs w:val="22"/>
        </w:rPr>
      </w:pPr>
      <w:r w:rsidRPr="006552E9">
        <w:rPr>
          <w:rFonts w:cs="Arial"/>
          <w:szCs w:val="22"/>
        </w:rPr>
        <w:t>The carrying value of an intangible asset with a finite life is amortised on a straight line basis over its useful life. Amortisation begins when the asset is available for use and ceases at the date the asset is derecognised. The amortisation charge for each period is recognised in the Statement of Financial Performance.</w:t>
      </w:r>
    </w:p>
    <w:p w:rsidR="007B3550" w:rsidRPr="006552E9" w:rsidRDefault="007B3550" w:rsidP="007B3550">
      <w:pPr>
        <w:rPr>
          <w:rFonts w:cs="Arial"/>
          <w:szCs w:val="22"/>
        </w:rPr>
      </w:pPr>
      <w:r w:rsidRPr="006552E9">
        <w:rPr>
          <w:rFonts w:cs="Arial"/>
          <w:szCs w:val="22"/>
        </w:rPr>
        <w:t>The useful lives and associated amortisation rates of major classes of intangible assets have been estimated as follows.</w:t>
      </w:r>
    </w:p>
    <w:p w:rsidR="007B3550" w:rsidRPr="006552E9" w:rsidRDefault="007B3550" w:rsidP="007B3550">
      <w:pPr>
        <w:rPr>
          <w:rFonts w:cs="Arial"/>
          <w:szCs w:val="22"/>
        </w:rPr>
      </w:pPr>
      <w:r w:rsidRPr="006552E9">
        <w:rPr>
          <w:rFonts w:cs="Arial"/>
          <w:szCs w:val="22"/>
        </w:rPr>
        <w:t>Web portal</w:t>
      </w:r>
      <w:r w:rsidRPr="006552E9">
        <w:rPr>
          <w:rFonts w:cs="Arial"/>
          <w:szCs w:val="22"/>
        </w:rPr>
        <w:tab/>
      </w:r>
      <w:r w:rsidRPr="006552E9">
        <w:rPr>
          <w:rFonts w:cs="Arial"/>
          <w:szCs w:val="22"/>
        </w:rPr>
        <w:tab/>
      </w:r>
      <w:r w:rsidRPr="006552E9">
        <w:rPr>
          <w:rFonts w:cs="Arial"/>
          <w:szCs w:val="22"/>
        </w:rPr>
        <w:tab/>
      </w:r>
      <w:r w:rsidRPr="006552E9">
        <w:rPr>
          <w:rFonts w:cs="Arial"/>
          <w:szCs w:val="22"/>
        </w:rPr>
        <w:tab/>
        <w:t>4 years</w:t>
      </w:r>
      <w:r w:rsidRPr="006552E9">
        <w:rPr>
          <w:rFonts w:cs="Arial"/>
          <w:szCs w:val="22"/>
        </w:rPr>
        <w:tab/>
      </w:r>
      <w:r w:rsidRPr="006552E9">
        <w:rPr>
          <w:rFonts w:cs="Arial"/>
          <w:szCs w:val="22"/>
        </w:rPr>
        <w:tab/>
      </w:r>
      <w:r w:rsidRPr="006552E9">
        <w:rPr>
          <w:rFonts w:cs="Arial"/>
          <w:szCs w:val="22"/>
        </w:rPr>
        <w:tab/>
        <w:t>25</w:t>
      </w:r>
      <w:r w:rsidR="0016706E">
        <w:rPr>
          <w:rFonts w:cs="Arial"/>
          <w:szCs w:val="22"/>
        </w:rPr>
        <w:t xml:space="preserve"> percent</w:t>
      </w:r>
      <w:r w:rsidRPr="006552E9">
        <w:rPr>
          <w:rFonts w:cs="Arial"/>
          <w:szCs w:val="22"/>
        </w:rPr>
        <w:t xml:space="preserve"> straight line</w:t>
      </w:r>
    </w:p>
    <w:p w:rsidR="007B3550" w:rsidRPr="006552E9" w:rsidRDefault="007B3550" w:rsidP="007B3550">
      <w:pPr>
        <w:rPr>
          <w:rFonts w:cs="Arial"/>
          <w:szCs w:val="22"/>
        </w:rPr>
      </w:pPr>
      <w:r w:rsidRPr="006552E9">
        <w:rPr>
          <w:rFonts w:cs="Arial"/>
          <w:szCs w:val="22"/>
        </w:rPr>
        <w:t>Acquired computer software</w:t>
      </w:r>
      <w:r w:rsidRPr="006552E9">
        <w:rPr>
          <w:rFonts w:cs="Arial"/>
          <w:szCs w:val="22"/>
        </w:rPr>
        <w:tab/>
      </w:r>
      <w:r w:rsidRPr="006552E9">
        <w:rPr>
          <w:rFonts w:cs="Arial"/>
          <w:szCs w:val="22"/>
        </w:rPr>
        <w:tab/>
        <w:t>4 years</w:t>
      </w:r>
      <w:r w:rsidRPr="006552E9">
        <w:rPr>
          <w:rFonts w:cs="Arial"/>
          <w:szCs w:val="22"/>
        </w:rPr>
        <w:tab/>
      </w:r>
      <w:r w:rsidRPr="006552E9">
        <w:rPr>
          <w:rFonts w:cs="Arial"/>
          <w:szCs w:val="22"/>
        </w:rPr>
        <w:tab/>
      </w:r>
      <w:r w:rsidRPr="006552E9">
        <w:rPr>
          <w:rFonts w:cs="Arial"/>
          <w:szCs w:val="22"/>
        </w:rPr>
        <w:tab/>
        <w:t>25</w:t>
      </w:r>
      <w:r w:rsidR="0016706E">
        <w:rPr>
          <w:rFonts w:cs="Arial"/>
          <w:szCs w:val="22"/>
        </w:rPr>
        <w:t xml:space="preserve"> percent</w:t>
      </w:r>
      <w:r w:rsidRPr="006552E9">
        <w:rPr>
          <w:rFonts w:cs="Arial"/>
          <w:szCs w:val="22"/>
        </w:rPr>
        <w:t xml:space="preserve"> straight line</w:t>
      </w:r>
    </w:p>
    <w:p w:rsidR="007B3550" w:rsidRPr="006552E9" w:rsidRDefault="007B3550" w:rsidP="007B3550">
      <w:pPr>
        <w:pStyle w:val="Heading5"/>
      </w:pPr>
      <w:r w:rsidRPr="006552E9">
        <w:t>1.3.12</w:t>
      </w:r>
      <w:r w:rsidRPr="006552E9">
        <w:tab/>
        <w:t>Impairment of non-financial assets</w:t>
      </w:r>
    </w:p>
    <w:p w:rsidR="007B3550" w:rsidRPr="006552E9" w:rsidRDefault="007B3550" w:rsidP="007B3550">
      <w:pPr>
        <w:rPr>
          <w:rFonts w:cs="Arial"/>
          <w:szCs w:val="22"/>
        </w:rPr>
      </w:pPr>
      <w:r w:rsidRPr="006552E9">
        <w:rPr>
          <w:rFonts w:cs="Arial"/>
          <w:szCs w:val="22"/>
        </w:rPr>
        <w:t>Property, plant and equipment and intangible assets that have a finite useful life are reviewed for indicators of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rsidR="007B3550" w:rsidRPr="006552E9" w:rsidRDefault="007B3550" w:rsidP="007B3550">
      <w:pPr>
        <w:rPr>
          <w:rFonts w:cs="Arial"/>
          <w:szCs w:val="22"/>
        </w:rPr>
      </w:pPr>
      <w:r w:rsidRPr="006552E9">
        <w:rPr>
          <w:rFonts w:cs="Arial"/>
          <w:szCs w:val="22"/>
        </w:rPr>
        <w:t>Value in use is depreciated replacement cost for an asset where the future economic benefits or service potential of the asset are not primarily dependent on the asset’s ability to generate net cash inflows and where Creative New Zealand would, if deprived of the asset, replace its remaining future economic benefits or service potential.</w:t>
      </w:r>
    </w:p>
    <w:p w:rsidR="007B3550" w:rsidRPr="006552E9" w:rsidRDefault="007B3550" w:rsidP="007B3550">
      <w:pPr>
        <w:rPr>
          <w:rFonts w:cs="Arial"/>
          <w:szCs w:val="22"/>
        </w:rPr>
      </w:pPr>
      <w:r w:rsidRPr="006552E9">
        <w:rPr>
          <w:rFonts w:cs="Arial"/>
          <w:szCs w:val="22"/>
        </w:rPr>
        <w:t>If an asset’s carrying amount exceeds its recoverable amount, the asset is impaired and the carrying amount is written down to the recoverable amount. For revalued assets, the impairment loss is recognised against the revaluation reserve for that class of asset. Where that results in a debit balance in the revaluation reserve, the balance is recognised in the Statement of Financial Performance.</w:t>
      </w:r>
    </w:p>
    <w:p w:rsidR="007B3550" w:rsidRPr="006552E9" w:rsidRDefault="007B3550" w:rsidP="007B3550">
      <w:pPr>
        <w:rPr>
          <w:rFonts w:cs="Arial"/>
          <w:szCs w:val="22"/>
        </w:rPr>
      </w:pPr>
      <w:r w:rsidRPr="006552E9">
        <w:rPr>
          <w:rFonts w:cs="Arial"/>
          <w:szCs w:val="22"/>
        </w:rPr>
        <w:t>For assets not carried at a revalued amount, the total impairment loss is recognised in the Statement of Financial Performance.</w:t>
      </w:r>
    </w:p>
    <w:p w:rsidR="007B3550" w:rsidRPr="006552E9" w:rsidRDefault="007B3550" w:rsidP="007B3550">
      <w:pPr>
        <w:rPr>
          <w:rFonts w:cs="Arial"/>
          <w:szCs w:val="22"/>
        </w:rPr>
      </w:pPr>
      <w:r w:rsidRPr="006552E9">
        <w:rPr>
          <w:rFonts w:cs="Arial"/>
          <w:szCs w:val="22"/>
        </w:rPr>
        <w:t>The reversal of an impairment loss on a revalued asset is credited to the revaluation reserve. However, to the extent that an impairment loss for that class of asset was previously recognised in the Statement of Financial Performance, a reversal of the impairment loss is also recognised in the Statement of Financial Performance.</w:t>
      </w:r>
    </w:p>
    <w:p w:rsidR="007B3550" w:rsidRPr="006552E9" w:rsidRDefault="007B3550" w:rsidP="007B3550">
      <w:pPr>
        <w:pStyle w:val="Heading5"/>
      </w:pPr>
      <w:r w:rsidRPr="006552E9">
        <w:t>1.3.13</w:t>
      </w:r>
      <w:r w:rsidRPr="006552E9">
        <w:tab/>
        <w:t>Financial instruments</w:t>
      </w:r>
    </w:p>
    <w:p w:rsidR="007B3550" w:rsidRPr="006552E9" w:rsidRDefault="007B3550" w:rsidP="007B3550">
      <w:pPr>
        <w:rPr>
          <w:rFonts w:cs="Arial"/>
          <w:szCs w:val="22"/>
        </w:rPr>
      </w:pPr>
      <w:r w:rsidRPr="006552E9">
        <w:rPr>
          <w:rFonts w:cs="Arial"/>
          <w:szCs w:val="22"/>
        </w:rPr>
        <w:t xml:space="preserve">Creative New Zealand is party to non-derivative financial instruments as part of its normal operations. These financial instruments include bank accounts, on-call deposits, </w:t>
      </w:r>
      <w:r w:rsidR="00186401">
        <w:rPr>
          <w:rFonts w:cs="Arial"/>
          <w:szCs w:val="22"/>
        </w:rPr>
        <w:t>short-term</w:t>
      </w:r>
      <w:r w:rsidRPr="006552E9">
        <w:rPr>
          <w:rFonts w:cs="Arial"/>
          <w:szCs w:val="22"/>
        </w:rPr>
        <w:t xml:space="preserve"> deposits, trade and other receivables, and trade and other payables.</w:t>
      </w:r>
    </w:p>
    <w:p w:rsidR="007B3550" w:rsidRPr="006552E9" w:rsidRDefault="007B3550" w:rsidP="007B3550">
      <w:pPr>
        <w:rPr>
          <w:rFonts w:cs="Arial"/>
          <w:szCs w:val="22"/>
        </w:rPr>
      </w:pPr>
      <w:r w:rsidRPr="006552E9">
        <w:rPr>
          <w:rFonts w:cs="Arial"/>
          <w:szCs w:val="22"/>
        </w:rPr>
        <w:t>Except for those items covered by a separate accounting policy, all financial instruments are initially recognised in the Statement of Financial Position at fair value and all revenues and expenses in relation to financial instruments are recognised in the Statement of Financial Performance.</w:t>
      </w:r>
    </w:p>
    <w:p w:rsidR="007B3550" w:rsidRPr="006552E9" w:rsidRDefault="007B3550" w:rsidP="007B3550">
      <w:pPr>
        <w:rPr>
          <w:rFonts w:cs="Arial"/>
          <w:szCs w:val="22"/>
        </w:rPr>
      </w:pPr>
      <w:r w:rsidRPr="006552E9">
        <w:rPr>
          <w:rFonts w:cs="Arial"/>
          <w:szCs w:val="22"/>
        </w:rPr>
        <w:t xml:space="preserve">Creative New Zealand does not use derivative financial instruments. </w:t>
      </w:r>
    </w:p>
    <w:p w:rsidR="007B3550" w:rsidRPr="006552E9" w:rsidRDefault="007B3550" w:rsidP="007B3550">
      <w:pPr>
        <w:pStyle w:val="Heading5"/>
      </w:pPr>
      <w:r w:rsidRPr="006552E9">
        <w:t>1.3.14</w:t>
      </w:r>
      <w:r w:rsidRPr="006552E9">
        <w:tab/>
        <w:t>Creditors and other payables</w:t>
      </w:r>
    </w:p>
    <w:p w:rsidR="007B3550" w:rsidRPr="006552E9" w:rsidRDefault="00186401" w:rsidP="007B3550">
      <w:pPr>
        <w:rPr>
          <w:rFonts w:cs="Arial"/>
          <w:szCs w:val="22"/>
        </w:rPr>
      </w:pPr>
      <w:r>
        <w:rPr>
          <w:rFonts w:cs="Arial"/>
          <w:szCs w:val="22"/>
        </w:rPr>
        <w:t>Short-term</w:t>
      </w:r>
      <w:r w:rsidR="007B3550" w:rsidRPr="006552E9">
        <w:rPr>
          <w:rFonts w:cs="Arial"/>
          <w:szCs w:val="22"/>
        </w:rPr>
        <w:t xml:space="preserve"> creditors and other payables are recorded at their face value. The amounts are unsecured and are usually paid within 30 days of recognition.</w:t>
      </w:r>
    </w:p>
    <w:p w:rsidR="007B3550" w:rsidRPr="006552E9" w:rsidRDefault="007B3550" w:rsidP="007B3550">
      <w:pPr>
        <w:pStyle w:val="Heading5"/>
      </w:pPr>
      <w:r w:rsidRPr="006552E9">
        <w:t>1.3.15</w:t>
      </w:r>
      <w:r w:rsidRPr="006552E9">
        <w:tab/>
        <w:t>Employee entitlements</w:t>
      </w:r>
    </w:p>
    <w:p w:rsidR="007B3550" w:rsidRPr="006552E9" w:rsidRDefault="00186401" w:rsidP="007B3550">
      <w:pPr>
        <w:ind w:left="360" w:hanging="360"/>
        <w:rPr>
          <w:rFonts w:cs="Arial"/>
          <w:i/>
          <w:szCs w:val="22"/>
        </w:rPr>
      </w:pPr>
      <w:r>
        <w:rPr>
          <w:rFonts w:cs="Arial"/>
          <w:i/>
          <w:szCs w:val="22"/>
        </w:rPr>
        <w:t>Short-term</w:t>
      </w:r>
      <w:r w:rsidR="007B3550" w:rsidRPr="006552E9">
        <w:rPr>
          <w:rFonts w:cs="Arial"/>
          <w:i/>
          <w:szCs w:val="22"/>
        </w:rPr>
        <w:t xml:space="preserve"> employee entitlements</w:t>
      </w:r>
    </w:p>
    <w:p w:rsidR="007B3550" w:rsidRPr="006552E9" w:rsidRDefault="007B3550" w:rsidP="007B3550">
      <w:pPr>
        <w:rPr>
          <w:rFonts w:cs="Arial"/>
          <w:szCs w:val="22"/>
        </w:rPr>
      </w:pPr>
      <w:r w:rsidRPr="006552E9">
        <w:rPr>
          <w:rFonts w:cs="Arial"/>
          <w:szCs w:val="22"/>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retirement and long service leave entitlements expected to be settled within 12 months, time in lieu accrued up to balance date and sick leave.</w:t>
      </w:r>
    </w:p>
    <w:p w:rsidR="007B3550" w:rsidRPr="006552E9" w:rsidRDefault="007B3550" w:rsidP="007B3550">
      <w:pPr>
        <w:rPr>
          <w:rFonts w:cs="Arial"/>
          <w:szCs w:val="22"/>
        </w:rPr>
      </w:pPr>
      <w:r w:rsidRPr="006552E9">
        <w:rPr>
          <w:rFonts w:cs="Arial"/>
          <w:szCs w:val="22"/>
        </w:rPr>
        <w:t>Creative New Zealand recognises a liability for sick leave to the extent that compensated absences in the coming year are expected to be greater than the sick leave entitlements earned in the coming year. The amount is calculated based on the unused sick leave entitlement that can be carried forward at balance date, to the extent Creative New Zealand anticipates it will be used by staff to cover those future absences.</w:t>
      </w:r>
    </w:p>
    <w:p w:rsidR="007B3550" w:rsidRPr="006552E9" w:rsidRDefault="007B3550" w:rsidP="007B3550">
      <w:pPr>
        <w:rPr>
          <w:rFonts w:cs="Arial"/>
          <w:szCs w:val="22"/>
        </w:rPr>
      </w:pPr>
      <w:r w:rsidRPr="006552E9">
        <w:rPr>
          <w:rFonts w:cs="Arial"/>
          <w:szCs w:val="22"/>
        </w:rPr>
        <w:t>Creative New Zealand recognises a liability and an expense for bonuses where it is contractually obliged to pay them or where there is a past practice that has created a constructive obligation.</w:t>
      </w:r>
    </w:p>
    <w:p w:rsidR="007B3550" w:rsidRPr="006552E9" w:rsidRDefault="007B3550" w:rsidP="007B3550">
      <w:pPr>
        <w:ind w:left="360" w:hanging="360"/>
        <w:rPr>
          <w:rFonts w:cs="Arial"/>
          <w:i/>
          <w:szCs w:val="22"/>
        </w:rPr>
      </w:pPr>
      <w:r w:rsidRPr="006552E9">
        <w:rPr>
          <w:rFonts w:cs="Arial"/>
          <w:i/>
          <w:szCs w:val="22"/>
        </w:rPr>
        <w:t>Long-term employee entitlements</w:t>
      </w:r>
    </w:p>
    <w:p w:rsidR="007B3550" w:rsidRPr="006552E9" w:rsidRDefault="007B3550" w:rsidP="007B3550">
      <w:pPr>
        <w:rPr>
          <w:rFonts w:cs="Arial"/>
          <w:szCs w:val="22"/>
        </w:rPr>
      </w:pPr>
      <w:r w:rsidRPr="006552E9">
        <w:rPr>
          <w:rFonts w:cs="Arial"/>
          <w:szCs w:val="22"/>
        </w:rPr>
        <w:t>Employee entitlements that are due to be settled beyond 12 months, such as long service leave and retirement leave, have been calculated on an actuarial basis.</w:t>
      </w:r>
    </w:p>
    <w:p w:rsidR="007B3550" w:rsidRPr="006552E9" w:rsidRDefault="007B3550" w:rsidP="007B3550">
      <w:pPr>
        <w:rPr>
          <w:rFonts w:cs="Arial"/>
          <w:szCs w:val="22"/>
        </w:rPr>
      </w:pPr>
      <w:r w:rsidRPr="006552E9">
        <w:rPr>
          <w:rFonts w:cs="Arial"/>
          <w:szCs w:val="22"/>
        </w:rPr>
        <w:t>The calculations are based on:</w:t>
      </w:r>
    </w:p>
    <w:p w:rsidR="007B3550" w:rsidRPr="006552E9" w:rsidRDefault="007B3550" w:rsidP="007B3550">
      <w:pPr>
        <w:pStyle w:val="Bullet"/>
      </w:pPr>
      <w:r w:rsidRPr="006552E9">
        <w:t>likely future entitlements accruing to staff, based on years of service, years to entitlement, the likelihood that staff will reach the point of entitlement and contractual entitlements information; and</w:t>
      </w:r>
    </w:p>
    <w:p w:rsidR="007B3550" w:rsidRPr="006552E9" w:rsidRDefault="007B3550" w:rsidP="007B3550">
      <w:pPr>
        <w:pStyle w:val="Bullet"/>
      </w:pPr>
      <w:r w:rsidRPr="006552E9">
        <w:t xml:space="preserve">the present value of the estimated future </w:t>
      </w:r>
      <w:r w:rsidR="008F45DE">
        <w:t>cash flow</w:t>
      </w:r>
      <w:r w:rsidRPr="006552E9">
        <w:t>s.</w:t>
      </w:r>
    </w:p>
    <w:p w:rsidR="007B3550" w:rsidRPr="006552E9" w:rsidRDefault="007B3550" w:rsidP="007B3550">
      <w:pPr>
        <w:rPr>
          <w:rFonts w:cs="Arial"/>
          <w:szCs w:val="22"/>
        </w:rPr>
      </w:pPr>
      <w:r w:rsidRPr="006552E9">
        <w:rPr>
          <w:rFonts w:cs="Arial"/>
          <w:szCs w:val="22"/>
        </w:rPr>
        <w:t>Expected future payments are discounted using the weighted average of interest rates for government stock with terms to maturity similar to those of the relevant liabilities. The inflation factor is based on the expected long-term increase in remuneration for employees.</w:t>
      </w:r>
    </w:p>
    <w:p w:rsidR="007B3550" w:rsidRPr="006552E9" w:rsidRDefault="007B3550" w:rsidP="007B3550">
      <w:pPr>
        <w:pStyle w:val="Heading5"/>
      </w:pPr>
      <w:r w:rsidRPr="006552E9">
        <w:t>1.3.16</w:t>
      </w:r>
      <w:r w:rsidRPr="006552E9">
        <w:tab/>
        <w:t>Superannuation scheme</w:t>
      </w:r>
    </w:p>
    <w:p w:rsidR="007B3550" w:rsidRPr="006552E9" w:rsidRDefault="007B3550" w:rsidP="007B3550">
      <w:pPr>
        <w:keepNext/>
        <w:ind w:left="357" w:hanging="357"/>
        <w:rPr>
          <w:rFonts w:cs="Arial"/>
          <w:i/>
          <w:szCs w:val="22"/>
        </w:rPr>
      </w:pPr>
      <w:r w:rsidRPr="006552E9">
        <w:rPr>
          <w:rFonts w:cs="Arial"/>
          <w:i/>
          <w:szCs w:val="22"/>
        </w:rPr>
        <w:t>Defined contribution scheme</w:t>
      </w:r>
    </w:p>
    <w:p w:rsidR="007B3550" w:rsidRPr="006552E9" w:rsidRDefault="007B3550" w:rsidP="007B3550">
      <w:pPr>
        <w:rPr>
          <w:rFonts w:cs="Arial"/>
          <w:szCs w:val="22"/>
        </w:rPr>
      </w:pPr>
      <w:r w:rsidRPr="006552E9">
        <w:rPr>
          <w:rFonts w:cs="Arial"/>
          <w:szCs w:val="22"/>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rsidR="007B3550" w:rsidRPr="006552E9" w:rsidRDefault="007B3550" w:rsidP="007B3550">
      <w:pPr>
        <w:pStyle w:val="Heading5"/>
      </w:pPr>
      <w:r w:rsidRPr="006552E9">
        <w:t>1.3.17</w:t>
      </w:r>
      <w:r w:rsidRPr="006552E9">
        <w:tab/>
        <w:t>Goods and services tax</w:t>
      </w:r>
    </w:p>
    <w:p w:rsidR="007B3550" w:rsidRPr="006552E9" w:rsidRDefault="007B3550" w:rsidP="007B3550">
      <w:pPr>
        <w:rPr>
          <w:rFonts w:cs="Arial"/>
          <w:szCs w:val="22"/>
        </w:rPr>
      </w:pPr>
      <w:r w:rsidRPr="006552E9">
        <w:rPr>
          <w:rFonts w:cs="Arial"/>
          <w:szCs w:val="22"/>
        </w:rPr>
        <w:t>All items in the financial statements are exclusive of GST, with the exception of accounts receivable and accounts payable, which are stated inclusive of GST. GST not recoverable as input tax is recognised as part of the related asset or expense.</w:t>
      </w:r>
    </w:p>
    <w:p w:rsidR="007B3550" w:rsidRPr="006552E9" w:rsidRDefault="007B3550" w:rsidP="007B3550">
      <w:pPr>
        <w:rPr>
          <w:rFonts w:cs="Arial"/>
          <w:szCs w:val="22"/>
        </w:rPr>
      </w:pPr>
      <w:r w:rsidRPr="006552E9">
        <w:rPr>
          <w:rFonts w:cs="Arial"/>
          <w:szCs w:val="22"/>
        </w:rPr>
        <w:t>The net amount of GST recoverable from, or payable to, the Inland Revenue Department is included as part of receivables or payables in the Statement of Financial Position.</w:t>
      </w:r>
    </w:p>
    <w:p w:rsidR="007B3550" w:rsidRPr="006552E9" w:rsidRDefault="007B3550" w:rsidP="007B3550">
      <w:pPr>
        <w:rPr>
          <w:rFonts w:cs="Arial"/>
          <w:szCs w:val="22"/>
        </w:rPr>
      </w:pPr>
      <w:r w:rsidRPr="006552E9">
        <w:rPr>
          <w:rFonts w:cs="Arial"/>
          <w:szCs w:val="22"/>
        </w:rPr>
        <w:t xml:space="preserve">The net GST paid to, or received from the Inland Revenue Department, including the GST relating to investing and financing activities, is classified as an operating </w:t>
      </w:r>
      <w:r w:rsidR="008F45DE">
        <w:rPr>
          <w:rFonts w:cs="Arial"/>
          <w:szCs w:val="22"/>
        </w:rPr>
        <w:t>cash flow</w:t>
      </w:r>
      <w:r w:rsidRPr="006552E9">
        <w:rPr>
          <w:rFonts w:cs="Arial"/>
          <w:szCs w:val="22"/>
        </w:rPr>
        <w:t xml:space="preserve"> in the statement of </w:t>
      </w:r>
      <w:r w:rsidR="008F45DE">
        <w:rPr>
          <w:rFonts w:cs="Arial"/>
          <w:szCs w:val="22"/>
        </w:rPr>
        <w:t>cash flow</w:t>
      </w:r>
      <w:r w:rsidRPr="006552E9">
        <w:rPr>
          <w:rFonts w:cs="Arial"/>
          <w:szCs w:val="22"/>
        </w:rPr>
        <w:t>s.</w:t>
      </w:r>
    </w:p>
    <w:p w:rsidR="007B3550" w:rsidRPr="006552E9" w:rsidRDefault="007B3550" w:rsidP="007B3550">
      <w:pPr>
        <w:rPr>
          <w:rFonts w:cs="Arial"/>
          <w:szCs w:val="22"/>
        </w:rPr>
      </w:pPr>
      <w:r w:rsidRPr="006552E9">
        <w:rPr>
          <w:rFonts w:cs="Arial"/>
          <w:szCs w:val="22"/>
        </w:rPr>
        <w:t>Commitments and contingencies are disclosed exclusive of GST.</w:t>
      </w:r>
    </w:p>
    <w:p w:rsidR="007B3550" w:rsidRPr="006552E9" w:rsidRDefault="007B3550" w:rsidP="007B3550">
      <w:pPr>
        <w:pStyle w:val="Heading5"/>
      </w:pPr>
      <w:r w:rsidRPr="006552E9">
        <w:t>1.3.18</w:t>
      </w:r>
      <w:r w:rsidRPr="006552E9">
        <w:tab/>
        <w:t>Income tax</w:t>
      </w:r>
    </w:p>
    <w:p w:rsidR="007B3550" w:rsidRPr="006552E9" w:rsidRDefault="007B3550" w:rsidP="007B3550">
      <w:pPr>
        <w:rPr>
          <w:rFonts w:cs="Arial"/>
          <w:szCs w:val="22"/>
        </w:rPr>
      </w:pPr>
      <w:r w:rsidRPr="006552E9">
        <w:rPr>
          <w:rFonts w:cs="Arial"/>
          <w:szCs w:val="22"/>
        </w:rPr>
        <w:t>Creative New Zealand is a public authority and, consequently, is exempt from the payment of income tax in accordance with the Income Tax Act 2007. Accordingly, no charge for income tax has been provided.</w:t>
      </w:r>
    </w:p>
    <w:p w:rsidR="007B3550" w:rsidRPr="006552E9" w:rsidRDefault="007B3550" w:rsidP="007B3550">
      <w:pPr>
        <w:pStyle w:val="Heading5"/>
      </w:pPr>
      <w:r w:rsidRPr="006552E9">
        <w:t>1.3.19</w:t>
      </w:r>
      <w:r w:rsidRPr="006552E9">
        <w:tab/>
        <w:t>Equity</w:t>
      </w:r>
    </w:p>
    <w:p w:rsidR="007B3550" w:rsidRPr="006552E9" w:rsidRDefault="007B3550" w:rsidP="007B3550">
      <w:pPr>
        <w:rPr>
          <w:rFonts w:cs="Arial"/>
          <w:szCs w:val="22"/>
        </w:rPr>
      </w:pPr>
      <w:r w:rsidRPr="006552E9">
        <w:rPr>
          <w:rFonts w:cs="Arial"/>
          <w:szCs w:val="22"/>
        </w:rPr>
        <w:t>Equity is measured as the difference between total assets and total liabilities. Equity is disaggregated and classified into the following components:</w:t>
      </w:r>
    </w:p>
    <w:p w:rsidR="007B3550" w:rsidRPr="006552E9" w:rsidRDefault="007B3550" w:rsidP="007B3550">
      <w:pPr>
        <w:pStyle w:val="Bullet"/>
      </w:pPr>
      <w:r w:rsidRPr="006552E9">
        <w:t xml:space="preserve">accumulated funds </w:t>
      </w:r>
    </w:p>
    <w:p w:rsidR="007B3550" w:rsidRPr="006552E9" w:rsidRDefault="007B3550" w:rsidP="007B3550">
      <w:pPr>
        <w:pStyle w:val="Bullet"/>
      </w:pPr>
      <w:r w:rsidRPr="006552E9">
        <w:t>revaluation reserve.</w:t>
      </w:r>
    </w:p>
    <w:p w:rsidR="007B3550" w:rsidRPr="006552E9" w:rsidRDefault="007B3550" w:rsidP="007B3550">
      <w:pPr>
        <w:ind w:left="360" w:hanging="360"/>
        <w:rPr>
          <w:rFonts w:cs="Arial"/>
          <w:i/>
          <w:szCs w:val="22"/>
        </w:rPr>
      </w:pPr>
      <w:r w:rsidRPr="006552E9">
        <w:rPr>
          <w:rFonts w:cs="Arial"/>
          <w:i/>
          <w:szCs w:val="22"/>
        </w:rPr>
        <w:t>Revaluation reserve</w:t>
      </w:r>
    </w:p>
    <w:p w:rsidR="007B3550" w:rsidRPr="006552E9" w:rsidRDefault="007B3550" w:rsidP="007B3550">
      <w:pPr>
        <w:rPr>
          <w:rFonts w:cs="Arial"/>
          <w:szCs w:val="22"/>
        </w:rPr>
      </w:pPr>
      <w:r w:rsidRPr="006552E9">
        <w:rPr>
          <w:rFonts w:cs="Arial"/>
          <w:szCs w:val="22"/>
        </w:rPr>
        <w:t>This reserve relates to the revaluation of land and buildings and works of art.</w:t>
      </w:r>
    </w:p>
    <w:p w:rsidR="007B3550" w:rsidRPr="006552E9" w:rsidRDefault="007B3550" w:rsidP="007B3550">
      <w:pPr>
        <w:pStyle w:val="Heading4"/>
      </w:pPr>
      <w:r w:rsidRPr="006552E9">
        <w:t>1.4</w:t>
      </w:r>
      <w:r w:rsidRPr="006552E9">
        <w:tab/>
        <w:t>Budgeted figures</w:t>
      </w:r>
    </w:p>
    <w:p w:rsidR="007B3550" w:rsidRPr="006552E9" w:rsidRDefault="007B3550" w:rsidP="007B3550">
      <w:pPr>
        <w:rPr>
          <w:rFonts w:cs="Arial"/>
          <w:szCs w:val="22"/>
        </w:rPr>
      </w:pPr>
      <w:r w:rsidRPr="006552E9">
        <w:rPr>
          <w:rFonts w:cs="Arial"/>
          <w:szCs w:val="22"/>
        </w:rPr>
        <w:t xml:space="preserve">The budget figures are derived from the </w:t>
      </w:r>
      <w:r w:rsidR="00AD2240">
        <w:rPr>
          <w:rFonts w:cs="Arial"/>
          <w:szCs w:val="22"/>
        </w:rPr>
        <w:t>SOI</w:t>
      </w:r>
      <w:r w:rsidRPr="006552E9">
        <w:rPr>
          <w:rFonts w:cs="Arial"/>
          <w:szCs w:val="22"/>
        </w:rPr>
        <w:t xml:space="preserve"> </w:t>
      </w:r>
      <w:r w:rsidR="006F3E33">
        <w:rPr>
          <w:rFonts w:cs="Arial"/>
          <w:szCs w:val="22"/>
        </w:rPr>
        <w:t xml:space="preserve">2012–15 </w:t>
      </w:r>
      <w:r w:rsidRPr="006552E9">
        <w:rPr>
          <w:rFonts w:cs="Arial"/>
          <w:szCs w:val="22"/>
        </w:rPr>
        <w:t>as approved by the Arts Council at the beginning of the financial year. The budget figures have been prepared in accordance with NZ IFRS, using accounting policies that are consistent with those adopted by Creative New Zealand for the preparation of these financial statements.</w:t>
      </w:r>
    </w:p>
    <w:p w:rsidR="007B3550" w:rsidRPr="006552E9" w:rsidRDefault="007B3550" w:rsidP="007B3550">
      <w:pPr>
        <w:pStyle w:val="Heading4"/>
      </w:pPr>
      <w:r w:rsidRPr="006552E9">
        <w:t xml:space="preserve">1.5 </w:t>
      </w:r>
      <w:r w:rsidRPr="006552E9">
        <w:tab/>
        <w:t>Use of judgements, estimates and assumptions</w:t>
      </w:r>
    </w:p>
    <w:p w:rsidR="007B3550" w:rsidRPr="006552E9" w:rsidRDefault="007B3550" w:rsidP="007B3550">
      <w:pPr>
        <w:rPr>
          <w:rFonts w:cs="Arial"/>
          <w:szCs w:val="22"/>
        </w:rPr>
      </w:pPr>
      <w:r w:rsidRPr="006552E9">
        <w:rPr>
          <w:rFonts w:cs="Arial"/>
          <w:szCs w:val="22"/>
        </w:rPr>
        <w:t>The preparation of the financial statements requires management to make judgements, estimates and assumptions that affect the reported amounts in the financial statements. Creative New Zealand continually evaluates its judgements and estimates in relation to assets, liabilities, contingent liabilities, revenue and expenses. Creative New Zealand bases its judgements and estimates on historical experience and on other various factors it believes to be reasonable under the circumstances, the result</w:t>
      </w:r>
      <w:r w:rsidR="006F3E33">
        <w:rPr>
          <w:rFonts w:cs="Arial"/>
          <w:szCs w:val="22"/>
        </w:rPr>
        <w:t>s</w:t>
      </w:r>
      <w:r w:rsidRPr="006552E9">
        <w:rPr>
          <w:rFonts w:cs="Arial"/>
          <w:szCs w:val="22"/>
        </w:rPr>
        <w:t xml:space="preserve"> of which form the basis of the carrying values of assets and liabilities that are not readily apparent from other sources.</w:t>
      </w:r>
    </w:p>
    <w:p w:rsidR="007B3550" w:rsidRPr="006552E9" w:rsidRDefault="007B3550" w:rsidP="007B3550">
      <w:pPr>
        <w:rPr>
          <w:rFonts w:cs="Arial"/>
          <w:szCs w:val="22"/>
        </w:rPr>
      </w:pPr>
      <w:r w:rsidRPr="006552E9">
        <w:rPr>
          <w:rFonts w:cs="Arial"/>
          <w:szCs w:val="22"/>
        </w:rPr>
        <w:t>Creative New Zealand has identified the following critical accounting policies for which significant judgements, estimates and assumptions are made. Actual results may differ from these estimates under different assumptions and conditions and may materially affect financial results or the financial position reported in future periods.</w:t>
      </w:r>
    </w:p>
    <w:p w:rsidR="007B3550" w:rsidRPr="006552E9" w:rsidRDefault="007B3550" w:rsidP="007B3550">
      <w:pPr>
        <w:pStyle w:val="Heading5"/>
      </w:pPr>
      <w:r w:rsidRPr="006552E9">
        <w:t>1.5.1</w:t>
      </w:r>
      <w:r w:rsidRPr="006552E9">
        <w:tab/>
        <w:t>Significant accounting judgements</w:t>
      </w:r>
    </w:p>
    <w:p w:rsidR="007B3550" w:rsidRPr="006552E9" w:rsidRDefault="007B3550" w:rsidP="007B3550">
      <w:pPr>
        <w:rPr>
          <w:rFonts w:cs="Arial"/>
          <w:i/>
          <w:szCs w:val="22"/>
        </w:rPr>
      </w:pPr>
      <w:r w:rsidRPr="006552E9">
        <w:rPr>
          <w:rFonts w:cs="Arial"/>
          <w:i/>
          <w:szCs w:val="22"/>
        </w:rPr>
        <w:t>Impairment of non-financial assets</w:t>
      </w:r>
    </w:p>
    <w:p w:rsidR="007B3550" w:rsidRPr="006552E9" w:rsidRDefault="007B3550" w:rsidP="007B3550">
      <w:pPr>
        <w:rPr>
          <w:rFonts w:cs="Arial"/>
          <w:szCs w:val="22"/>
        </w:rPr>
      </w:pPr>
      <w:r w:rsidRPr="006552E9">
        <w:rPr>
          <w:rFonts w:cs="Arial"/>
          <w:szCs w:val="22"/>
        </w:rPr>
        <w:t>Creative New Zealand assesses impairment of all assets at each reporting date by evaluating conditions specific to Creative New Zealand and to the particular asset that may lead to impairment. These include property, plant and equipment, works of art and intangible assets. If an impairment trigger exists, the recoverable amount of the asset is determined. Given the current uncertain economic environment</w:t>
      </w:r>
      <w:r w:rsidR="006F3E33">
        <w:rPr>
          <w:rFonts w:cs="Arial"/>
          <w:szCs w:val="22"/>
        </w:rPr>
        <w:t>,</w:t>
      </w:r>
      <w:r w:rsidRPr="006552E9">
        <w:rPr>
          <w:rFonts w:cs="Arial"/>
          <w:szCs w:val="22"/>
        </w:rPr>
        <w:t xml:space="preserve"> management considered that the indicators of impairment were significant enough and, as such, these assets have been tested for impairment or revalued in this financial period. </w:t>
      </w:r>
    </w:p>
    <w:p w:rsidR="007B3550" w:rsidRPr="006552E9" w:rsidRDefault="007B3550" w:rsidP="007B3550">
      <w:pPr>
        <w:rPr>
          <w:rFonts w:cs="Arial"/>
          <w:i/>
          <w:szCs w:val="22"/>
        </w:rPr>
      </w:pPr>
      <w:r w:rsidRPr="006552E9">
        <w:rPr>
          <w:rFonts w:cs="Arial"/>
          <w:i/>
          <w:szCs w:val="22"/>
        </w:rPr>
        <w:t xml:space="preserve">Operating lease commitments – Creative New Zealand as lessor </w:t>
      </w:r>
    </w:p>
    <w:p w:rsidR="007B3550" w:rsidRPr="006552E9" w:rsidRDefault="007B3550" w:rsidP="007B3550">
      <w:pPr>
        <w:rPr>
          <w:rFonts w:cs="Arial"/>
          <w:szCs w:val="22"/>
        </w:rPr>
      </w:pPr>
      <w:r w:rsidRPr="006552E9">
        <w:rPr>
          <w:rFonts w:cs="Arial"/>
          <w:szCs w:val="22"/>
        </w:rPr>
        <w:t>Creative New Zealand has entered into commercial property leases on its investment property. Creative New Zealand has determined that it retains substantially all the significant risks and rewards of ownership of the property primarily as the lease does not transfer ownership of the asset to the lessee at the end of the lease term. Thus</w:t>
      </w:r>
      <w:r w:rsidR="006F3E33">
        <w:rPr>
          <w:rFonts w:cs="Arial"/>
          <w:szCs w:val="22"/>
        </w:rPr>
        <w:t>,</w:t>
      </w:r>
      <w:r w:rsidRPr="006552E9">
        <w:rPr>
          <w:rFonts w:cs="Arial"/>
          <w:szCs w:val="22"/>
        </w:rPr>
        <w:t xml:space="preserve"> Creative New Zealand has classified the leases as operating leases.</w:t>
      </w:r>
    </w:p>
    <w:p w:rsidR="007B3550" w:rsidRPr="006552E9" w:rsidRDefault="007B3550" w:rsidP="007B3550">
      <w:pPr>
        <w:pStyle w:val="Heading5"/>
      </w:pPr>
      <w:r w:rsidRPr="006552E9">
        <w:t>1.5.2</w:t>
      </w:r>
      <w:r w:rsidRPr="006552E9">
        <w:tab/>
        <w:t>Significant accounting estimates and assumptions</w:t>
      </w:r>
    </w:p>
    <w:p w:rsidR="007B3550" w:rsidRPr="006552E9" w:rsidRDefault="007B3550" w:rsidP="007B3550">
      <w:pPr>
        <w:rPr>
          <w:rFonts w:cs="Arial"/>
          <w:i/>
          <w:szCs w:val="22"/>
        </w:rPr>
      </w:pPr>
      <w:r w:rsidRPr="006552E9">
        <w:rPr>
          <w:rFonts w:cs="Arial"/>
          <w:i/>
          <w:szCs w:val="22"/>
        </w:rPr>
        <w:t xml:space="preserve">Estimation of useful lives of assets </w:t>
      </w:r>
    </w:p>
    <w:p w:rsidR="007B3550" w:rsidRPr="006552E9" w:rsidRDefault="007B3550" w:rsidP="007B3550">
      <w:pPr>
        <w:rPr>
          <w:rFonts w:cs="Arial"/>
          <w:szCs w:val="22"/>
        </w:rPr>
      </w:pPr>
      <w:r w:rsidRPr="006552E9">
        <w:rPr>
          <w:rFonts w:cs="Arial"/>
          <w:szCs w:val="22"/>
        </w:rPr>
        <w:t>The estimation of the useful lives of assets has been based on historical experience and the economic life of the assets. In addition, the condition of the assets is assessed at least once a year and considered against the remaining useful life. Adjustments to useful lives are made when considered necessary. The useful life of the Old Public Trust Building was reassessed at 30 June 2009 to be 35 years. The useful life of furniture, equipment and fittings has been reassessed from 1 July 2011 to be 10 years.</w:t>
      </w:r>
    </w:p>
    <w:p w:rsidR="007B3550" w:rsidRPr="006552E9" w:rsidRDefault="007B3550" w:rsidP="007B3550">
      <w:pPr>
        <w:rPr>
          <w:rFonts w:cs="Arial"/>
          <w:i/>
          <w:szCs w:val="22"/>
        </w:rPr>
      </w:pPr>
      <w:r w:rsidRPr="006552E9">
        <w:rPr>
          <w:rFonts w:cs="Arial"/>
          <w:i/>
          <w:szCs w:val="22"/>
        </w:rPr>
        <w:t>Revaluation of land and building (including investment property)</w:t>
      </w:r>
    </w:p>
    <w:p w:rsidR="007B3550" w:rsidRPr="006552E9" w:rsidRDefault="007B3550" w:rsidP="007B3550">
      <w:pPr>
        <w:rPr>
          <w:rFonts w:cs="Arial"/>
          <w:szCs w:val="22"/>
        </w:rPr>
      </w:pPr>
      <w:r w:rsidRPr="006552E9">
        <w:rPr>
          <w:rFonts w:cs="Arial"/>
          <w:szCs w:val="22"/>
        </w:rPr>
        <w:t xml:space="preserve">The revaluation of land and buildings (including investment property) is performed by an independent valuer, using the capitalisation of the potential net income and discounted </w:t>
      </w:r>
      <w:r w:rsidR="008F45DE">
        <w:rPr>
          <w:rFonts w:cs="Arial"/>
          <w:szCs w:val="22"/>
        </w:rPr>
        <w:t>cash flow</w:t>
      </w:r>
      <w:r w:rsidRPr="006552E9">
        <w:rPr>
          <w:rFonts w:cs="Arial"/>
          <w:szCs w:val="22"/>
        </w:rPr>
        <w:t xml:space="preserve"> analysis. These methods are based upon assumptions including future rental income</w:t>
      </w:r>
      <w:r w:rsidR="006F3E33">
        <w:rPr>
          <w:rFonts w:cs="Arial"/>
          <w:szCs w:val="22"/>
        </w:rPr>
        <w:t>, anticipated maintenance costs</w:t>
      </w:r>
      <w:r w:rsidRPr="006552E9">
        <w:rPr>
          <w:rFonts w:cs="Arial"/>
          <w:szCs w:val="22"/>
        </w:rPr>
        <w:t xml:space="preserve"> and appropriate discount rate.</w:t>
      </w:r>
    </w:p>
    <w:p w:rsidR="007B3550" w:rsidRPr="006552E9" w:rsidRDefault="007B3550" w:rsidP="007B3550">
      <w:pPr>
        <w:rPr>
          <w:rFonts w:cs="Arial"/>
          <w:i/>
          <w:szCs w:val="22"/>
        </w:rPr>
      </w:pPr>
      <w:r w:rsidRPr="006552E9">
        <w:rPr>
          <w:rFonts w:cs="Arial"/>
          <w:i/>
          <w:szCs w:val="22"/>
        </w:rPr>
        <w:t>Revaluation of works of art</w:t>
      </w:r>
    </w:p>
    <w:p w:rsidR="007B3550" w:rsidRPr="006552E9" w:rsidRDefault="007B3550" w:rsidP="007B3550">
      <w:pPr>
        <w:rPr>
          <w:rFonts w:cs="Arial"/>
          <w:szCs w:val="22"/>
        </w:rPr>
      </w:pPr>
      <w:r w:rsidRPr="006552E9">
        <w:rPr>
          <w:rFonts w:cs="Arial"/>
          <w:szCs w:val="22"/>
        </w:rPr>
        <w:t xml:space="preserve">The revaluation of works of art is performed by an experienced independent valuer and art dealer, using the available art market sales data in New Zealand. There is no formal qualification for valuing artworks in New Zealand. Creative New Zealand is relying on </w:t>
      </w:r>
      <w:r w:rsidR="006F3E33">
        <w:rPr>
          <w:rFonts w:cs="Arial"/>
          <w:szCs w:val="22"/>
        </w:rPr>
        <w:t xml:space="preserve">the </w:t>
      </w:r>
      <w:r w:rsidRPr="006552E9">
        <w:rPr>
          <w:rFonts w:cs="Arial"/>
          <w:szCs w:val="22"/>
        </w:rPr>
        <w:t>valuer’s judgement and expertise in this area.</w:t>
      </w:r>
    </w:p>
    <w:p w:rsidR="00C11F0A" w:rsidRPr="006552E9" w:rsidRDefault="00C11F0A" w:rsidP="00E22C83">
      <w:pPr>
        <w:pStyle w:val="Style1"/>
      </w:pPr>
      <w:bookmarkStart w:id="94" w:name="_Toc339551255"/>
      <w:r w:rsidRPr="006552E9">
        <w:t>2.</w:t>
      </w:r>
      <w:r w:rsidRPr="006552E9">
        <w:tab/>
        <w:t>Revenue from the Crown</w:t>
      </w:r>
      <w:bookmarkEnd w:id="94"/>
    </w:p>
    <w:p w:rsidR="00C11F0A" w:rsidRPr="006552E9" w:rsidRDefault="00C11F0A" w:rsidP="00C11F0A">
      <w:r w:rsidRPr="006552E9">
        <w:t>Creative New Zealand has been provided with funding from the Crown for the specific purposes of the Arts Council as set out in its founding legislation and the scope of the relevant government appropriations. Apart from these general restrictions, there are no unfulfilled conditions or contingencies attached to government funding (2012: nil).</w:t>
      </w:r>
    </w:p>
    <w:p w:rsidR="00C11F0A" w:rsidRPr="006552E9" w:rsidRDefault="00C11F0A" w:rsidP="00C11F0A">
      <w:pPr>
        <w:rPr>
          <w:highlight w:val="yellow"/>
        </w:rPr>
      </w:pPr>
      <w:r w:rsidRPr="006552E9">
        <w:t>The funding provided from the Crown amounted to $15.689 million (2012: $15.689 million).</w:t>
      </w:r>
    </w:p>
    <w:p w:rsidR="00C11F0A" w:rsidRPr="006552E9" w:rsidRDefault="00C11F0A" w:rsidP="00E22C83">
      <w:pPr>
        <w:pStyle w:val="Style1"/>
      </w:pPr>
      <w:bookmarkStart w:id="95" w:name="_Toc339551256"/>
      <w:r w:rsidRPr="006552E9">
        <w:t>3.</w:t>
      </w:r>
      <w:r w:rsidRPr="006552E9">
        <w:tab/>
        <w:t>Revenue from New Zealand Lottery Grants Board</w:t>
      </w:r>
      <w:bookmarkEnd w:id="95"/>
    </w:p>
    <w:p w:rsidR="00A52484" w:rsidRPr="006552E9" w:rsidRDefault="00A52484" w:rsidP="00A52484">
      <w:pPr>
        <w:pStyle w:val="Tabletex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Base funding</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25,950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24,510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Additional profit allocation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4,054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3,006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One</w:t>
            </w:r>
            <w:r w:rsidR="007471AE">
              <w:rPr>
                <w:rFonts w:cs="Arial"/>
                <w:sz w:val="20"/>
                <w:szCs w:val="20"/>
              </w:rPr>
              <w:t xml:space="preserve"> off</w:t>
            </w:r>
            <w:r w:rsidRPr="006552E9">
              <w:rPr>
                <w:rFonts w:cs="Arial"/>
                <w:sz w:val="20"/>
                <w:szCs w:val="20"/>
              </w:rPr>
              <w:t xml:space="preserve"> funding allocations from reserves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1,020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877D63">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31,024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27,516 </w:t>
            </w:r>
          </w:p>
        </w:tc>
      </w:tr>
    </w:tbl>
    <w:p w:rsidR="00C11F0A" w:rsidRPr="006552E9" w:rsidRDefault="00C11F0A" w:rsidP="00C11F0A">
      <w:r w:rsidRPr="006552E9">
        <w:t xml:space="preserve">The New Zealand Lottery Grants Board allocates 15 percent of its profit to Creative New Zealand under section 279 of the Gambling Act 2003. The core funding is allocated based on the Board’s forecast profit for the financial year. </w:t>
      </w:r>
    </w:p>
    <w:p w:rsidR="00C11F0A" w:rsidRPr="006552E9" w:rsidRDefault="00C11F0A" w:rsidP="00C11F0A">
      <w:r w:rsidRPr="006552E9">
        <w:t xml:space="preserve">Creative New Zealand also receives a 15 percent share in the Board’s profit over and above the forecast. This additional profit allocation is dependent on the actual audited Board’s profit for the year. </w:t>
      </w:r>
    </w:p>
    <w:p w:rsidR="00C11F0A" w:rsidRPr="006552E9" w:rsidRDefault="00C11F0A" w:rsidP="00E22C83">
      <w:pPr>
        <w:pStyle w:val="Style1"/>
      </w:pPr>
      <w:r w:rsidRPr="006552E9">
        <w:t>4.</w:t>
      </w:r>
      <w:r w:rsidRPr="006552E9">
        <w:tab/>
        <w:t>Grants retirements and gains</w:t>
      </w:r>
    </w:p>
    <w:p w:rsidR="00C11F0A" w:rsidRPr="006552E9" w:rsidRDefault="00C11F0A" w:rsidP="00A52484">
      <w:pPr>
        <w:pStyle w:val="Tabletex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r>
      <w:tr w:rsidR="00A52484" w:rsidRPr="006552E9" w:rsidTr="00A52484">
        <w:trPr>
          <w:trHeight w:val="255"/>
        </w:trPr>
        <w:tc>
          <w:tcPr>
            <w:tcW w:w="6678" w:type="dxa"/>
            <w:tcBorders>
              <w:top w:val="single" w:sz="4" w:space="0" w:color="auto"/>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Gain on revaluation of investment property</w:t>
            </w:r>
          </w:p>
        </w:tc>
        <w:tc>
          <w:tcPr>
            <w:tcW w:w="120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68 </w:t>
            </w:r>
          </w:p>
        </w:tc>
        <w:tc>
          <w:tcPr>
            <w:tcW w:w="1240" w:type="dxa"/>
            <w:tcBorders>
              <w:top w:val="single" w:sz="4" w:space="0" w:color="auto"/>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877D63">
              <w:rPr>
                <w:rFonts w:cs="Arial"/>
                <w:sz w:val="20"/>
                <w:szCs w:val="20"/>
              </w:rPr>
              <w:t>–</w:t>
            </w:r>
            <w:r w:rsidR="00A52484" w:rsidRPr="006552E9">
              <w:rPr>
                <w:rFonts w:cs="Arial"/>
                <w:sz w:val="20"/>
                <w:szCs w:val="20"/>
              </w:rPr>
              <w:t xml:space="preserve"> </w:t>
            </w:r>
          </w:p>
        </w:tc>
      </w:tr>
      <w:tr w:rsidR="002E460F" w:rsidRPr="006552E9" w:rsidTr="00A52484">
        <w:trPr>
          <w:trHeight w:val="255"/>
        </w:trPr>
        <w:tc>
          <w:tcPr>
            <w:tcW w:w="6678" w:type="dxa"/>
            <w:tcBorders>
              <w:top w:val="nil"/>
              <w:left w:val="nil"/>
              <w:bottom w:val="nil"/>
              <w:right w:val="nil"/>
            </w:tcBorders>
            <w:shd w:val="clear" w:color="auto" w:fill="auto"/>
            <w:noWrap/>
            <w:vAlign w:val="bottom"/>
          </w:tcPr>
          <w:p w:rsidR="002E460F" w:rsidRPr="006552E9" w:rsidRDefault="002E460F" w:rsidP="00C11F0A">
            <w:pPr>
              <w:spacing w:before="0"/>
              <w:jc w:val="left"/>
              <w:rPr>
                <w:rFonts w:cs="Arial"/>
                <w:sz w:val="20"/>
                <w:szCs w:val="20"/>
              </w:rPr>
            </w:pPr>
            <w:r w:rsidRPr="002E460F">
              <w:rPr>
                <w:rFonts w:cs="Arial"/>
                <w:sz w:val="20"/>
                <w:szCs w:val="20"/>
              </w:rPr>
              <w:t xml:space="preserve">Gain on revaluation of land and building to </w:t>
            </w:r>
            <w:r w:rsidR="006F3E33">
              <w:rPr>
                <w:rFonts w:cs="Arial"/>
                <w:sz w:val="20"/>
                <w:szCs w:val="20"/>
              </w:rPr>
              <w:t xml:space="preserve">the </w:t>
            </w:r>
            <w:r w:rsidRPr="002E460F">
              <w:rPr>
                <w:rFonts w:cs="Arial"/>
                <w:sz w:val="20"/>
                <w:szCs w:val="20"/>
              </w:rPr>
              <w:t>extent it decreases revaluation loss in previous year</w:t>
            </w:r>
          </w:p>
        </w:tc>
        <w:tc>
          <w:tcPr>
            <w:tcW w:w="1200" w:type="dxa"/>
            <w:tcBorders>
              <w:top w:val="nil"/>
              <w:left w:val="nil"/>
              <w:bottom w:val="nil"/>
              <w:right w:val="nil"/>
            </w:tcBorders>
            <w:shd w:val="clear" w:color="auto" w:fill="auto"/>
            <w:noWrap/>
            <w:vAlign w:val="center"/>
          </w:tcPr>
          <w:p w:rsidR="002E460F" w:rsidRPr="006552E9" w:rsidRDefault="002E460F" w:rsidP="00A52484">
            <w:pPr>
              <w:spacing w:before="0"/>
              <w:jc w:val="right"/>
              <w:rPr>
                <w:rFonts w:cs="Arial"/>
                <w:sz w:val="20"/>
                <w:szCs w:val="20"/>
              </w:rPr>
            </w:pPr>
            <w:r>
              <w:rPr>
                <w:rFonts w:cs="Arial"/>
                <w:sz w:val="20"/>
                <w:szCs w:val="20"/>
              </w:rPr>
              <w:t>69</w:t>
            </w:r>
          </w:p>
        </w:tc>
        <w:tc>
          <w:tcPr>
            <w:tcW w:w="1240" w:type="dxa"/>
            <w:tcBorders>
              <w:top w:val="nil"/>
              <w:left w:val="nil"/>
              <w:bottom w:val="nil"/>
              <w:right w:val="nil"/>
            </w:tcBorders>
            <w:shd w:val="clear" w:color="auto" w:fill="auto"/>
            <w:noWrap/>
            <w:vAlign w:val="center"/>
          </w:tcPr>
          <w:p w:rsidR="002E460F" w:rsidRPr="006552E9" w:rsidRDefault="00877D63" w:rsidP="00A52484">
            <w:pPr>
              <w:spacing w:before="0"/>
              <w:jc w:val="right"/>
              <w:rPr>
                <w:rFonts w:cs="Arial"/>
                <w:sz w:val="20"/>
                <w:szCs w:val="20"/>
              </w:rPr>
            </w:pPr>
            <w:r>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Retirement of grants</w:t>
            </w:r>
          </w:p>
        </w:tc>
        <w:tc>
          <w:tcPr>
            <w:tcW w:w="1200" w:type="dxa"/>
            <w:tcBorders>
              <w:top w:val="nil"/>
              <w:left w:val="nil"/>
              <w:bottom w:val="nil"/>
              <w:right w:val="nil"/>
            </w:tcBorders>
            <w:shd w:val="clear" w:color="auto" w:fill="auto"/>
            <w:noWrap/>
            <w:vAlign w:val="center"/>
            <w:hideMark/>
          </w:tcPr>
          <w:p w:rsidR="00A52484" w:rsidRPr="006552E9" w:rsidRDefault="00A52484" w:rsidP="00A52484">
            <w:pPr>
              <w:spacing w:before="0"/>
              <w:jc w:val="right"/>
              <w:rPr>
                <w:rFonts w:cs="Arial"/>
                <w:sz w:val="20"/>
                <w:szCs w:val="20"/>
              </w:rPr>
            </w:pPr>
            <w:r w:rsidRPr="006552E9">
              <w:rPr>
                <w:rFonts w:cs="Arial"/>
                <w:sz w:val="20"/>
                <w:szCs w:val="20"/>
              </w:rPr>
              <w:t xml:space="preserve"> 197 </w:t>
            </w:r>
          </w:p>
        </w:tc>
        <w:tc>
          <w:tcPr>
            <w:tcW w:w="1240" w:type="dxa"/>
            <w:tcBorders>
              <w:top w:val="nil"/>
              <w:left w:val="nil"/>
              <w:bottom w:val="nil"/>
              <w:right w:val="nil"/>
            </w:tcBorders>
            <w:shd w:val="clear" w:color="auto" w:fill="auto"/>
            <w:noWrap/>
            <w:vAlign w:val="center"/>
            <w:hideMark/>
          </w:tcPr>
          <w:p w:rsidR="00A52484" w:rsidRPr="006552E9" w:rsidRDefault="00A52484" w:rsidP="00A52484">
            <w:pPr>
              <w:spacing w:before="0"/>
              <w:jc w:val="right"/>
              <w:rPr>
                <w:rFonts w:cs="Arial"/>
                <w:sz w:val="20"/>
                <w:szCs w:val="20"/>
              </w:rPr>
            </w:pPr>
            <w:r w:rsidRPr="006552E9">
              <w:rPr>
                <w:rFonts w:cs="Arial"/>
                <w:sz w:val="20"/>
                <w:szCs w:val="20"/>
              </w:rPr>
              <w:t xml:space="preserve"> 275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Net foreign exchange gain</w:t>
            </w:r>
          </w:p>
        </w:tc>
        <w:tc>
          <w:tcPr>
            <w:tcW w:w="1200" w:type="dxa"/>
            <w:tcBorders>
              <w:top w:val="nil"/>
              <w:left w:val="nil"/>
              <w:bottom w:val="nil"/>
              <w:right w:val="nil"/>
            </w:tcBorders>
            <w:shd w:val="clear" w:color="auto" w:fill="auto"/>
            <w:noWrap/>
            <w:vAlign w:val="center"/>
            <w:hideMark/>
          </w:tcPr>
          <w:p w:rsidR="00A52484" w:rsidRPr="006552E9" w:rsidRDefault="00A52484" w:rsidP="00A52484">
            <w:pPr>
              <w:spacing w:before="0"/>
              <w:jc w:val="right"/>
              <w:rPr>
                <w:rFonts w:cs="Arial"/>
                <w:sz w:val="20"/>
                <w:szCs w:val="20"/>
              </w:rPr>
            </w:pPr>
            <w:r w:rsidRPr="006552E9">
              <w:rPr>
                <w:rFonts w:cs="Arial"/>
                <w:sz w:val="20"/>
                <w:szCs w:val="20"/>
              </w:rPr>
              <w:t xml:space="preserve"> 1 </w:t>
            </w:r>
          </w:p>
        </w:tc>
        <w:tc>
          <w:tcPr>
            <w:tcW w:w="1240" w:type="dxa"/>
            <w:tcBorders>
              <w:top w:val="nil"/>
              <w:left w:val="nil"/>
              <w:bottom w:val="nil"/>
              <w:right w:val="nil"/>
            </w:tcBorders>
            <w:shd w:val="clear" w:color="auto" w:fill="auto"/>
            <w:noWrap/>
            <w:vAlign w:val="center"/>
            <w:hideMark/>
          </w:tcPr>
          <w:p w:rsidR="00A52484" w:rsidRPr="006552E9" w:rsidRDefault="00C02722" w:rsidP="00A52484">
            <w:pPr>
              <w:spacing w:before="0"/>
              <w:jc w:val="right"/>
              <w:rPr>
                <w:rFonts w:cs="Arial"/>
                <w:sz w:val="20"/>
                <w:szCs w:val="20"/>
              </w:rPr>
            </w:pPr>
            <w:r>
              <w:rPr>
                <w:rFonts w:cs="Arial"/>
                <w:sz w:val="20"/>
                <w:szCs w:val="20"/>
              </w:rPr>
              <w:t xml:space="preserve"> </w:t>
            </w:r>
            <w:r w:rsidR="00877D63">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2E460F">
            <w:pPr>
              <w:spacing w:before="0"/>
              <w:jc w:val="right"/>
              <w:rPr>
                <w:rFonts w:cs="Arial"/>
                <w:b/>
                <w:bCs/>
                <w:sz w:val="20"/>
                <w:szCs w:val="20"/>
              </w:rPr>
            </w:pPr>
            <w:r w:rsidRPr="006552E9">
              <w:rPr>
                <w:rFonts w:cs="Arial"/>
                <w:b/>
                <w:bCs/>
                <w:sz w:val="20"/>
                <w:szCs w:val="20"/>
              </w:rPr>
              <w:t xml:space="preserve"> </w:t>
            </w:r>
            <w:r w:rsidR="002E460F">
              <w:rPr>
                <w:rFonts w:cs="Arial"/>
                <w:b/>
                <w:bCs/>
                <w:sz w:val="20"/>
                <w:szCs w:val="20"/>
              </w:rPr>
              <w:t>335</w:t>
            </w:r>
            <w:r w:rsidRPr="006552E9">
              <w:rPr>
                <w:rFonts w:cs="Arial"/>
                <w:b/>
                <w:bCs/>
                <w:sz w:val="20"/>
                <w:szCs w:val="20"/>
              </w:rPr>
              <w:t xml:space="preserve">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275 </w:t>
            </w:r>
          </w:p>
        </w:tc>
      </w:tr>
    </w:tbl>
    <w:p w:rsidR="00C11F0A" w:rsidRPr="006552E9" w:rsidRDefault="00C11F0A" w:rsidP="00C11F0A">
      <w:pPr>
        <w:spacing w:before="0"/>
      </w:pPr>
    </w:p>
    <w:p w:rsidR="007B3550" w:rsidRPr="006552E9" w:rsidRDefault="00C11F0A" w:rsidP="00E22C83">
      <w:pPr>
        <w:pStyle w:val="Style1"/>
      </w:pPr>
      <w:r w:rsidRPr="006552E9">
        <w:t>5.</w:t>
      </w:r>
      <w:r w:rsidRPr="006552E9">
        <w:tab/>
        <w:t>Other income</w:t>
      </w:r>
    </w:p>
    <w:p w:rsidR="00C11F0A" w:rsidRPr="006552E9" w:rsidRDefault="00C11F0A" w:rsidP="00A52484">
      <w:pPr>
        <w:pStyle w:val="Tabletex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r>
      <w:tr w:rsidR="00A52484" w:rsidRPr="006552E9" w:rsidTr="00A52484">
        <w:trPr>
          <w:trHeight w:val="255"/>
        </w:trPr>
        <w:tc>
          <w:tcPr>
            <w:tcW w:w="6678" w:type="dxa"/>
            <w:tcBorders>
              <w:top w:val="single" w:sz="4" w:space="0" w:color="auto"/>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Venice Biennale Patrons</w:t>
            </w:r>
          </w:p>
        </w:tc>
        <w:tc>
          <w:tcPr>
            <w:tcW w:w="120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371 </w:t>
            </w:r>
          </w:p>
        </w:tc>
        <w:tc>
          <w:tcPr>
            <w:tcW w:w="1240" w:type="dxa"/>
            <w:tcBorders>
              <w:top w:val="single" w:sz="4" w:space="0" w:color="auto"/>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Venice Biennale Te Papa contribution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80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877D63">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Festival of Pacific Arts Te Matatini contribution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60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Rental income</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73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73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The Todd Trust</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Other</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77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671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94 </w:t>
            </w:r>
          </w:p>
        </w:tc>
      </w:tr>
    </w:tbl>
    <w:p w:rsidR="00C11F0A" w:rsidRPr="006552E9" w:rsidRDefault="00C11F0A" w:rsidP="00E22C83">
      <w:pPr>
        <w:pStyle w:val="Style1"/>
      </w:pPr>
      <w:r w:rsidRPr="006552E9">
        <w:t>6.</w:t>
      </w:r>
      <w:r w:rsidRPr="006552E9">
        <w:tab/>
        <w:t>Personnel expenses</w:t>
      </w:r>
    </w:p>
    <w:p w:rsidR="00C11F0A" w:rsidRPr="006552E9" w:rsidRDefault="00C11F0A" w:rsidP="00A52484">
      <w:pPr>
        <w:pStyle w:val="Tabletext"/>
        <w:keepNex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A52484">
            <w:pPr>
              <w:keepNext/>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A52484" w:rsidRPr="006552E9" w:rsidRDefault="00A52484" w:rsidP="00A52484">
            <w:pPr>
              <w:keepNext/>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A52484" w:rsidRPr="006552E9" w:rsidRDefault="00A52484" w:rsidP="00A52484">
            <w:pPr>
              <w:keepNext/>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r>
      <w:tr w:rsidR="00A52484" w:rsidRPr="006552E9" w:rsidTr="00A52484">
        <w:trPr>
          <w:trHeight w:val="255"/>
        </w:trPr>
        <w:tc>
          <w:tcPr>
            <w:tcW w:w="6678" w:type="dxa"/>
            <w:tcBorders>
              <w:top w:val="single" w:sz="4" w:space="0" w:color="auto"/>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Salaries and wages</w:t>
            </w:r>
          </w:p>
        </w:tc>
        <w:tc>
          <w:tcPr>
            <w:tcW w:w="120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4,252 </w:t>
            </w:r>
          </w:p>
        </w:tc>
        <w:tc>
          <w:tcPr>
            <w:tcW w:w="124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4,294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Other staff related costs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183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224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Employer contributions to defined contribution plans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32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32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Increase</w:t>
            </w:r>
            <w:r w:rsidR="000B4830">
              <w:rPr>
                <w:rFonts w:cs="Arial"/>
                <w:sz w:val="20"/>
                <w:szCs w:val="20"/>
              </w:rPr>
              <w:t>/</w:t>
            </w:r>
            <w:r w:rsidRPr="006552E9">
              <w:rPr>
                <w:rFonts w:cs="Arial"/>
                <w:sz w:val="20"/>
                <w:szCs w:val="20"/>
              </w:rPr>
              <w:t>(decrease) in employee entitlements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(4)</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Termination benefits</w:t>
            </w:r>
          </w:p>
        </w:tc>
        <w:tc>
          <w:tcPr>
            <w:tcW w:w="120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4,453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4,546 </w:t>
            </w:r>
          </w:p>
        </w:tc>
      </w:tr>
    </w:tbl>
    <w:p w:rsidR="00C11F0A" w:rsidRPr="006552E9" w:rsidRDefault="00C11F0A" w:rsidP="00C11F0A">
      <w:r w:rsidRPr="006552E9">
        <w:t>Employer contributions to defined contribution plans include contributions to KiwiSaver and personal schemes of certain employees.</w:t>
      </w:r>
    </w:p>
    <w:p w:rsidR="00C11F0A" w:rsidRPr="006552E9" w:rsidRDefault="00C11F0A" w:rsidP="00C11F0A">
      <w:r w:rsidRPr="006552E9">
        <w:t>During the year ended 30 June 2013, two employees received a total of $48,310 relating to the cessation of their employment with Creative New Zealand (2012: $nil).</w:t>
      </w:r>
    </w:p>
    <w:p w:rsidR="00C11F0A" w:rsidRPr="006552E9" w:rsidRDefault="00C11F0A" w:rsidP="00C11F0A">
      <w:pPr>
        <w:rPr>
          <w:rFonts w:cs="Arial"/>
          <w:szCs w:val="22"/>
        </w:rPr>
      </w:pPr>
      <w:r w:rsidRPr="006552E9">
        <w:t>The number of employees whose remuneration for the financial year exceeded $100,000 is as follows:</w:t>
      </w:r>
    </w:p>
    <w:tbl>
      <w:tblPr>
        <w:tblW w:w="9118" w:type="dxa"/>
        <w:tblInd w:w="93" w:type="dxa"/>
        <w:tblLook w:val="04A0" w:firstRow="1" w:lastRow="0" w:firstColumn="1" w:lastColumn="0" w:noHBand="0" w:noVBand="1"/>
      </w:tblPr>
      <w:tblGrid>
        <w:gridCol w:w="6678"/>
        <w:gridCol w:w="1220"/>
        <w:gridCol w:w="122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Total remuneration and benefits</w:t>
            </w:r>
          </w:p>
        </w:tc>
        <w:tc>
          <w:tcPr>
            <w:tcW w:w="2440" w:type="dxa"/>
            <w:gridSpan w:val="2"/>
            <w:tcBorders>
              <w:top w:val="nil"/>
              <w:left w:val="nil"/>
              <w:right w:val="nil"/>
            </w:tcBorders>
            <w:shd w:val="clear" w:color="auto" w:fill="auto"/>
            <w:noWrap/>
            <w:vAlign w:val="bottom"/>
            <w:hideMark/>
          </w:tcPr>
          <w:p w:rsidR="00A52484" w:rsidRPr="006552E9" w:rsidRDefault="00A52484" w:rsidP="00C11F0A">
            <w:pPr>
              <w:spacing w:before="0"/>
              <w:jc w:val="center"/>
              <w:rPr>
                <w:rFonts w:cs="Arial"/>
                <w:sz w:val="20"/>
                <w:szCs w:val="20"/>
              </w:rPr>
            </w:pPr>
            <w:r w:rsidRPr="006552E9">
              <w:rPr>
                <w:rFonts w:cs="Arial"/>
                <w:sz w:val="20"/>
                <w:szCs w:val="20"/>
              </w:rPr>
              <w:t>Number of employees</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C11F0A">
            <w:pPr>
              <w:spacing w:before="0"/>
              <w:jc w:val="left"/>
              <w:rPr>
                <w:rFonts w:cs="Arial"/>
                <w:sz w:val="20"/>
                <w:szCs w:val="20"/>
              </w:rPr>
            </w:pPr>
          </w:p>
        </w:tc>
        <w:tc>
          <w:tcPr>
            <w:tcW w:w="122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2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$100,000</w:t>
            </w:r>
            <w:r w:rsidR="00C02722">
              <w:rPr>
                <w:rFonts w:cs="Arial"/>
                <w:sz w:val="20"/>
                <w:szCs w:val="20"/>
              </w:rPr>
              <w:t xml:space="preserve"> </w:t>
            </w:r>
            <w:r w:rsidR="002E460F">
              <w:rPr>
                <w:rFonts w:cs="Arial"/>
                <w:sz w:val="20"/>
                <w:szCs w:val="20"/>
              </w:rPr>
              <w:t>–</w:t>
            </w:r>
            <w:r w:rsidRPr="006552E9">
              <w:rPr>
                <w:rFonts w:cs="Arial"/>
                <w:sz w:val="20"/>
                <w:szCs w:val="20"/>
              </w:rPr>
              <w:t xml:space="preserve"> 109,999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1</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2</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$110,000</w:t>
            </w:r>
            <w:r w:rsidR="00C02722">
              <w:rPr>
                <w:rFonts w:cs="Arial"/>
                <w:sz w:val="20"/>
                <w:szCs w:val="20"/>
              </w:rPr>
              <w:t xml:space="preserve"> </w:t>
            </w:r>
            <w:r w:rsidR="002E460F">
              <w:rPr>
                <w:rFonts w:cs="Arial"/>
                <w:sz w:val="20"/>
                <w:szCs w:val="20"/>
              </w:rPr>
              <w:t>–</w:t>
            </w:r>
            <w:r w:rsidRPr="006552E9">
              <w:rPr>
                <w:rFonts w:cs="Arial"/>
                <w:sz w:val="20"/>
                <w:szCs w:val="20"/>
              </w:rPr>
              <w:t xml:space="preserve"> 119,999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2</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2</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$120,000</w:t>
            </w:r>
            <w:r w:rsidR="00C02722">
              <w:rPr>
                <w:rFonts w:cs="Arial"/>
                <w:sz w:val="20"/>
                <w:szCs w:val="20"/>
              </w:rPr>
              <w:t xml:space="preserve"> </w:t>
            </w:r>
            <w:r w:rsidR="002E460F">
              <w:rPr>
                <w:rFonts w:cs="Arial"/>
                <w:sz w:val="20"/>
                <w:szCs w:val="20"/>
              </w:rPr>
              <w:t>–</w:t>
            </w:r>
            <w:r w:rsidRPr="006552E9">
              <w:rPr>
                <w:rFonts w:cs="Arial"/>
                <w:sz w:val="20"/>
                <w:szCs w:val="20"/>
              </w:rPr>
              <w:t xml:space="preserve"> 129,999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2</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2</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$130,000</w:t>
            </w:r>
            <w:r w:rsidR="00C02722">
              <w:rPr>
                <w:rFonts w:cs="Arial"/>
                <w:sz w:val="20"/>
                <w:szCs w:val="20"/>
              </w:rPr>
              <w:t xml:space="preserve"> </w:t>
            </w:r>
            <w:r w:rsidR="002E460F">
              <w:rPr>
                <w:rFonts w:cs="Arial"/>
                <w:sz w:val="20"/>
                <w:szCs w:val="20"/>
              </w:rPr>
              <w:t>–</w:t>
            </w:r>
            <w:r w:rsidRPr="006552E9">
              <w:rPr>
                <w:rFonts w:cs="Arial"/>
                <w:sz w:val="20"/>
                <w:szCs w:val="20"/>
              </w:rPr>
              <w:t xml:space="preserve"> 139,999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1</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1</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$140,000</w:t>
            </w:r>
            <w:r w:rsidR="00C02722">
              <w:rPr>
                <w:rFonts w:cs="Arial"/>
                <w:sz w:val="20"/>
                <w:szCs w:val="20"/>
              </w:rPr>
              <w:t xml:space="preserve"> </w:t>
            </w:r>
            <w:r w:rsidR="002E460F">
              <w:rPr>
                <w:rFonts w:cs="Arial"/>
                <w:sz w:val="20"/>
                <w:szCs w:val="20"/>
              </w:rPr>
              <w:t>–</w:t>
            </w:r>
            <w:r w:rsidRPr="006552E9">
              <w:rPr>
                <w:rFonts w:cs="Arial"/>
                <w:sz w:val="20"/>
                <w:szCs w:val="20"/>
              </w:rPr>
              <w:t xml:space="preserve"> 149,999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1</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Nil</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$240,000</w:t>
            </w:r>
            <w:r w:rsidR="00C02722">
              <w:rPr>
                <w:rFonts w:cs="Arial"/>
                <w:sz w:val="20"/>
                <w:szCs w:val="20"/>
              </w:rPr>
              <w:t xml:space="preserve"> </w:t>
            </w:r>
            <w:r w:rsidR="002E460F">
              <w:rPr>
                <w:rFonts w:cs="Arial"/>
                <w:sz w:val="20"/>
                <w:szCs w:val="20"/>
              </w:rPr>
              <w:t>–</w:t>
            </w:r>
            <w:r w:rsidRPr="006552E9">
              <w:rPr>
                <w:rFonts w:cs="Arial"/>
                <w:sz w:val="20"/>
                <w:szCs w:val="20"/>
              </w:rPr>
              <w:t xml:space="preserve"> 249,999</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Nil</w:t>
            </w:r>
          </w:p>
        </w:tc>
        <w:tc>
          <w:tcPr>
            <w:tcW w:w="122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1</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C11F0A">
            <w:pPr>
              <w:spacing w:before="0"/>
              <w:jc w:val="left"/>
              <w:rPr>
                <w:rFonts w:cs="Arial"/>
                <w:sz w:val="20"/>
                <w:szCs w:val="20"/>
              </w:rPr>
            </w:pPr>
            <w:r w:rsidRPr="006552E9">
              <w:rPr>
                <w:rFonts w:cs="Arial"/>
                <w:sz w:val="20"/>
                <w:szCs w:val="20"/>
              </w:rPr>
              <w:t>$260,000</w:t>
            </w:r>
            <w:r w:rsidR="00C02722">
              <w:rPr>
                <w:rFonts w:cs="Arial"/>
                <w:sz w:val="20"/>
                <w:szCs w:val="20"/>
              </w:rPr>
              <w:t xml:space="preserve"> </w:t>
            </w:r>
            <w:r w:rsidR="002E460F">
              <w:rPr>
                <w:rFonts w:cs="Arial"/>
                <w:sz w:val="20"/>
                <w:szCs w:val="20"/>
              </w:rPr>
              <w:t>–</w:t>
            </w:r>
            <w:r w:rsidRPr="006552E9">
              <w:rPr>
                <w:rFonts w:cs="Arial"/>
                <w:sz w:val="20"/>
                <w:szCs w:val="20"/>
              </w:rPr>
              <w:t xml:space="preserve"> 269,999</w:t>
            </w:r>
          </w:p>
        </w:tc>
        <w:tc>
          <w:tcPr>
            <w:tcW w:w="1220" w:type="dxa"/>
            <w:tcBorders>
              <w:top w:val="nil"/>
              <w:left w:val="nil"/>
              <w:bottom w:val="nil"/>
              <w:right w:val="nil"/>
            </w:tcBorders>
            <w:shd w:val="clear" w:color="auto" w:fill="auto"/>
            <w:noWrap/>
            <w:vAlign w:val="bottom"/>
            <w:hideMark/>
          </w:tcPr>
          <w:p w:rsidR="00A52484" w:rsidRPr="006552E9" w:rsidRDefault="00A52484" w:rsidP="00C11F0A">
            <w:pPr>
              <w:spacing w:before="0"/>
              <w:jc w:val="right"/>
              <w:rPr>
                <w:rFonts w:cs="Arial"/>
                <w:sz w:val="20"/>
                <w:szCs w:val="20"/>
              </w:rPr>
            </w:pPr>
            <w:r w:rsidRPr="006552E9">
              <w:rPr>
                <w:rFonts w:cs="Arial"/>
                <w:sz w:val="20"/>
                <w:szCs w:val="20"/>
              </w:rPr>
              <w:t>1</w:t>
            </w:r>
          </w:p>
        </w:tc>
        <w:tc>
          <w:tcPr>
            <w:tcW w:w="1220" w:type="dxa"/>
            <w:tcBorders>
              <w:top w:val="nil"/>
              <w:left w:val="nil"/>
              <w:bottom w:val="nil"/>
              <w:right w:val="nil"/>
            </w:tcBorders>
            <w:shd w:val="clear" w:color="auto" w:fill="auto"/>
            <w:noWrap/>
            <w:vAlign w:val="bottom"/>
            <w:hideMark/>
          </w:tcPr>
          <w:p w:rsidR="00A52484" w:rsidRPr="006552E9" w:rsidRDefault="00A52484" w:rsidP="00C11F0A">
            <w:pPr>
              <w:spacing w:before="0"/>
              <w:jc w:val="right"/>
              <w:rPr>
                <w:rFonts w:cs="Arial"/>
                <w:sz w:val="20"/>
                <w:szCs w:val="20"/>
              </w:rPr>
            </w:pPr>
            <w:r w:rsidRPr="006552E9">
              <w:rPr>
                <w:rFonts w:cs="Arial"/>
                <w:sz w:val="20"/>
                <w:szCs w:val="20"/>
              </w:rPr>
              <w:t>Nil</w:t>
            </w:r>
          </w:p>
        </w:tc>
      </w:tr>
    </w:tbl>
    <w:p w:rsidR="007B3550" w:rsidRPr="006552E9" w:rsidRDefault="00C11F0A" w:rsidP="007B3550">
      <w:r w:rsidRPr="006552E9">
        <w:t>The Chief Executive’s remuneration</w:t>
      </w:r>
      <w:r w:rsidR="006F3E33">
        <w:t>, including</w:t>
      </w:r>
      <w:r w:rsidRPr="006552E9">
        <w:t xml:space="preserve"> benefits</w:t>
      </w:r>
      <w:r w:rsidR="006F3E33">
        <w:t>,</w:t>
      </w:r>
      <w:r w:rsidRPr="006552E9">
        <w:t xml:space="preserve"> is in the $260,000 to $269,999 band.</w:t>
      </w:r>
    </w:p>
    <w:p w:rsidR="003C13CD" w:rsidRDefault="003C13CD" w:rsidP="00E22C83">
      <w:pPr>
        <w:pStyle w:val="Style1"/>
      </w:pPr>
      <w:bookmarkStart w:id="96" w:name="_Toc339551260"/>
      <w:r w:rsidRPr="006552E9">
        <w:t>7.</w:t>
      </w:r>
      <w:r w:rsidRPr="006552E9">
        <w:tab/>
        <w:t>Depreciation and amortisation</w:t>
      </w:r>
      <w:bookmarkEnd w:id="96"/>
    </w:p>
    <w:p w:rsidR="00E22C83" w:rsidRPr="006552E9" w:rsidRDefault="00E22C83" w:rsidP="00E22C83">
      <w:pPr>
        <w:pStyle w:val="Tabletex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right w:val="nil"/>
            </w:tcBorders>
            <w:shd w:val="clear" w:color="auto" w:fill="auto"/>
            <w:noWrap/>
            <w:vAlign w:val="bottom"/>
            <w:hideMark/>
          </w:tcPr>
          <w:p w:rsidR="00A52484" w:rsidRPr="006552E9" w:rsidRDefault="00A52484" w:rsidP="003C13CD">
            <w:pPr>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3C13CD">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$000 </w:t>
            </w:r>
          </w:p>
        </w:tc>
      </w:tr>
      <w:tr w:rsidR="00A52484" w:rsidRPr="006552E9" w:rsidTr="00A52484">
        <w:trPr>
          <w:trHeight w:val="255"/>
        </w:trPr>
        <w:tc>
          <w:tcPr>
            <w:tcW w:w="6678" w:type="dxa"/>
            <w:tcBorders>
              <w:top w:val="single" w:sz="4" w:space="0" w:color="auto"/>
              <w:left w:val="nil"/>
              <w:bottom w:val="nil"/>
              <w:right w:val="nil"/>
            </w:tcBorders>
            <w:shd w:val="clear" w:color="auto" w:fill="auto"/>
            <w:noWrap/>
            <w:vAlign w:val="bottom"/>
            <w:hideMark/>
          </w:tcPr>
          <w:p w:rsidR="00A52484" w:rsidRPr="006552E9" w:rsidRDefault="00A52484" w:rsidP="003C13CD">
            <w:pPr>
              <w:spacing w:before="0"/>
              <w:jc w:val="left"/>
              <w:rPr>
                <w:rFonts w:cs="Arial"/>
                <w:b/>
                <w:bCs/>
                <w:sz w:val="20"/>
                <w:szCs w:val="20"/>
              </w:rPr>
            </w:pPr>
            <w:r w:rsidRPr="006552E9">
              <w:rPr>
                <w:rFonts w:cs="Arial"/>
                <w:b/>
                <w:bCs/>
                <w:sz w:val="20"/>
                <w:szCs w:val="20"/>
              </w:rPr>
              <w:t>Depreciation</w:t>
            </w:r>
          </w:p>
        </w:tc>
        <w:tc>
          <w:tcPr>
            <w:tcW w:w="120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p>
        </w:tc>
        <w:tc>
          <w:tcPr>
            <w:tcW w:w="1240" w:type="dxa"/>
            <w:tcBorders>
              <w:top w:val="single" w:sz="4" w:space="0" w:color="auto"/>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 Building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43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 Building improvements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57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56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6F3E33">
            <w:pPr>
              <w:spacing w:before="0"/>
              <w:jc w:val="left"/>
              <w:rPr>
                <w:rFonts w:cs="Arial"/>
                <w:sz w:val="20"/>
                <w:szCs w:val="20"/>
              </w:rPr>
            </w:pPr>
            <w:r w:rsidRPr="006552E9">
              <w:rPr>
                <w:rFonts w:cs="Arial"/>
                <w:sz w:val="20"/>
                <w:szCs w:val="20"/>
              </w:rPr>
              <w:t xml:space="preserve"> Furniture, equipment </w:t>
            </w:r>
            <w:r w:rsidR="006F3E33">
              <w:rPr>
                <w:rFonts w:cs="Arial"/>
                <w:sz w:val="20"/>
                <w:szCs w:val="20"/>
              </w:rPr>
              <w:t>and</w:t>
            </w:r>
            <w:r w:rsidRPr="006552E9">
              <w:rPr>
                <w:rFonts w:cs="Arial"/>
                <w:sz w:val="20"/>
                <w:szCs w:val="20"/>
              </w:rPr>
              <w:t xml:space="preserve"> fittings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13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 Computer equipment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86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85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b/>
                <w:bCs/>
                <w:sz w:val="20"/>
                <w:szCs w:val="20"/>
              </w:rPr>
            </w:pPr>
            <w:r w:rsidRPr="006552E9">
              <w:rPr>
                <w:rFonts w:cs="Arial"/>
                <w:b/>
                <w:bCs/>
                <w:sz w:val="20"/>
                <w:szCs w:val="20"/>
              </w:rPr>
              <w:t>Amortisation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 Computer software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 Web portal </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123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143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F3E33" w:rsidRDefault="00A52484" w:rsidP="00A52484">
            <w:pPr>
              <w:spacing w:before="0"/>
              <w:jc w:val="right"/>
              <w:rPr>
                <w:rFonts w:cs="Arial"/>
                <w:b/>
                <w:sz w:val="20"/>
                <w:szCs w:val="20"/>
              </w:rPr>
            </w:pPr>
            <w:r w:rsidRPr="006F3E33">
              <w:rPr>
                <w:rFonts w:cs="Arial"/>
                <w:b/>
                <w:sz w:val="20"/>
                <w:szCs w:val="20"/>
              </w:rPr>
              <w:t xml:space="preserve"> 391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F3E33" w:rsidRDefault="00A52484" w:rsidP="00A52484">
            <w:pPr>
              <w:spacing w:before="0"/>
              <w:jc w:val="right"/>
              <w:rPr>
                <w:rFonts w:cs="Arial"/>
                <w:b/>
                <w:sz w:val="20"/>
                <w:szCs w:val="20"/>
              </w:rPr>
            </w:pPr>
            <w:r w:rsidRPr="006F3E33">
              <w:rPr>
                <w:rFonts w:cs="Arial"/>
                <w:b/>
                <w:sz w:val="20"/>
                <w:szCs w:val="20"/>
              </w:rPr>
              <w:t xml:space="preserve"> 440 </w:t>
            </w:r>
          </w:p>
        </w:tc>
      </w:tr>
    </w:tbl>
    <w:p w:rsidR="003C13CD" w:rsidRDefault="003C13CD" w:rsidP="00E22C83">
      <w:pPr>
        <w:pStyle w:val="Style1"/>
      </w:pPr>
      <w:r w:rsidRPr="006552E9">
        <w:t>8.</w:t>
      </w:r>
      <w:r w:rsidRPr="006552E9">
        <w:tab/>
        <w:t>Other expenses</w:t>
      </w:r>
    </w:p>
    <w:p w:rsidR="00E22C83" w:rsidRPr="006552E9" w:rsidRDefault="00E22C83" w:rsidP="00E22C83">
      <w:pPr>
        <w:pStyle w:val="Tabletext"/>
      </w:pPr>
    </w:p>
    <w:tbl>
      <w:tblPr>
        <w:tblW w:w="9118" w:type="dxa"/>
        <w:tblInd w:w="93" w:type="dxa"/>
        <w:tblLook w:val="04A0" w:firstRow="1" w:lastRow="0" w:firstColumn="1" w:lastColumn="0" w:noHBand="0" w:noVBand="1"/>
      </w:tblPr>
      <w:tblGrid>
        <w:gridCol w:w="5827"/>
        <w:gridCol w:w="851"/>
        <w:gridCol w:w="1200"/>
        <w:gridCol w:w="1240"/>
      </w:tblGrid>
      <w:tr w:rsidR="003C13CD" w:rsidRPr="006552E9" w:rsidTr="00A52484">
        <w:trPr>
          <w:trHeight w:val="255"/>
        </w:trPr>
        <w:tc>
          <w:tcPr>
            <w:tcW w:w="5827" w:type="dxa"/>
            <w:tcBorders>
              <w:top w:val="nil"/>
              <w:left w:val="nil"/>
              <w:right w:val="nil"/>
            </w:tcBorders>
            <w:shd w:val="clear" w:color="auto" w:fill="auto"/>
            <w:noWrap/>
            <w:vAlign w:val="bottom"/>
            <w:hideMark/>
          </w:tcPr>
          <w:p w:rsidR="003C13CD" w:rsidRPr="006552E9" w:rsidRDefault="003C13CD" w:rsidP="003C13CD">
            <w:pPr>
              <w:spacing w:before="0"/>
              <w:jc w:val="left"/>
              <w:rPr>
                <w:rFonts w:cs="Arial"/>
                <w:sz w:val="20"/>
                <w:szCs w:val="20"/>
              </w:rPr>
            </w:pPr>
          </w:p>
        </w:tc>
        <w:tc>
          <w:tcPr>
            <w:tcW w:w="851" w:type="dxa"/>
            <w:tcBorders>
              <w:top w:val="nil"/>
              <w:left w:val="nil"/>
              <w:right w:val="nil"/>
            </w:tcBorders>
            <w:shd w:val="clear" w:color="auto" w:fill="auto"/>
            <w:noWrap/>
            <w:vAlign w:val="bottom"/>
            <w:hideMark/>
          </w:tcPr>
          <w:p w:rsidR="003C13CD" w:rsidRPr="006552E9" w:rsidRDefault="003C13CD" w:rsidP="00A52484">
            <w:pPr>
              <w:spacing w:before="0"/>
              <w:jc w:val="center"/>
              <w:rPr>
                <w:rFonts w:cs="Arial"/>
                <w:b/>
                <w:bCs/>
                <w:sz w:val="20"/>
                <w:szCs w:val="20"/>
              </w:rPr>
            </w:pPr>
            <w:r w:rsidRPr="006552E9">
              <w:rPr>
                <w:rFonts w:cs="Arial"/>
                <w:b/>
                <w:bCs/>
                <w:sz w:val="20"/>
                <w:szCs w:val="20"/>
              </w:rPr>
              <w:t>NOTE</w:t>
            </w:r>
          </w:p>
        </w:tc>
        <w:tc>
          <w:tcPr>
            <w:tcW w:w="1200" w:type="dxa"/>
            <w:tcBorders>
              <w:top w:val="nil"/>
              <w:left w:val="nil"/>
              <w:right w:val="nil"/>
            </w:tcBorders>
            <w:shd w:val="clear" w:color="auto" w:fill="auto"/>
            <w:noWrap/>
            <w:vAlign w:val="bottom"/>
            <w:hideMark/>
          </w:tcPr>
          <w:p w:rsidR="003C13CD" w:rsidRPr="006552E9" w:rsidRDefault="003C13CD"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right w:val="nil"/>
            </w:tcBorders>
            <w:shd w:val="clear" w:color="auto" w:fill="auto"/>
            <w:noWrap/>
            <w:vAlign w:val="bottom"/>
            <w:hideMark/>
          </w:tcPr>
          <w:p w:rsidR="003C13CD" w:rsidRPr="006552E9" w:rsidRDefault="003C13CD" w:rsidP="00A52484">
            <w:pPr>
              <w:spacing w:before="0"/>
              <w:jc w:val="right"/>
              <w:rPr>
                <w:rFonts w:cs="Arial"/>
                <w:b/>
                <w:bCs/>
                <w:sz w:val="20"/>
                <w:szCs w:val="20"/>
              </w:rPr>
            </w:pPr>
            <w:r w:rsidRPr="006552E9">
              <w:rPr>
                <w:rFonts w:cs="Arial"/>
                <w:b/>
                <w:bCs/>
                <w:sz w:val="20"/>
                <w:szCs w:val="20"/>
              </w:rPr>
              <w:t xml:space="preserve"> 2012 </w:t>
            </w:r>
          </w:p>
        </w:tc>
      </w:tr>
      <w:tr w:rsidR="003C13CD" w:rsidRPr="006552E9" w:rsidTr="00A52484">
        <w:trPr>
          <w:trHeight w:val="255"/>
        </w:trPr>
        <w:tc>
          <w:tcPr>
            <w:tcW w:w="5827" w:type="dxa"/>
            <w:tcBorders>
              <w:top w:val="nil"/>
              <w:left w:val="nil"/>
              <w:bottom w:val="single" w:sz="4" w:space="0" w:color="auto"/>
              <w:right w:val="nil"/>
            </w:tcBorders>
            <w:shd w:val="clear" w:color="auto" w:fill="auto"/>
            <w:noWrap/>
            <w:vAlign w:val="bottom"/>
            <w:hideMark/>
          </w:tcPr>
          <w:p w:rsidR="003C13CD" w:rsidRPr="006552E9" w:rsidRDefault="003C13CD" w:rsidP="003C13CD">
            <w:pPr>
              <w:spacing w:before="0"/>
              <w:jc w:val="left"/>
              <w:rPr>
                <w:rFonts w:cs="Arial"/>
                <w:sz w:val="20"/>
                <w:szCs w:val="20"/>
              </w:rPr>
            </w:pPr>
          </w:p>
        </w:tc>
        <w:tc>
          <w:tcPr>
            <w:tcW w:w="851" w:type="dxa"/>
            <w:tcBorders>
              <w:top w:val="nil"/>
              <w:left w:val="nil"/>
              <w:bottom w:val="single" w:sz="4" w:space="0" w:color="auto"/>
              <w:right w:val="nil"/>
            </w:tcBorders>
            <w:shd w:val="clear" w:color="auto" w:fill="auto"/>
            <w:noWrap/>
            <w:vAlign w:val="bottom"/>
            <w:hideMark/>
          </w:tcPr>
          <w:p w:rsidR="003C13CD" w:rsidRPr="006552E9" w:rsidRDefault="003C13CD" w:rsidP="00A52484">
            <w:pPr>
              <w:spacing w:before="0"/>
              <w:jc w:val="center"/>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3C13CD" w:rsidRPr="006552E9" w:rsidRDefault="003C13CD" w:rsidP="00A52484">
            <w:pPr>
              <w:spacing w:before="0"/>
              <w:jc w:val="right"/>
              <w:rPr>
                <w:rFonts w:cs="Arial"/>
                <w:b/>
                <w:bCs/>
                <w:sz w:val="20"/>
                <w:szCs w:val="20"/>
              </w:rPr>
            </w:pPr>
            <w:r w:rsidRPr="006552E9">
              <w:rPr>
                <w:rFonts w:cs="Arial"/>
                <w:b/>
                <w:bCs/>
                <w:sz w:val="20"/>
                <w:szCs w:val="20"/>
              </w:rPr>
              <w:t xml:space="preserve"> $000 </w:t>
            </w:r>
          </w:p>
        </w:tc>
        <w:tc>
          <w:tcPr>
            <w:tcW w:w="1240" w:type="dxa"/>
            <w:tcBorders>
              <w:top w:val="nil"/>
              <w:left w:val="nil"/>
              <w:bottom w:val="single" w:sz="4" w:space="0" w:color="auto"/>
              <w:right w:val="nil"/>
            </w:tcBorders>
            <w:shd w:val="clear" w:color="auto" w:fill="auto"/>
            <w:noWrap/>
            <w:vAlign w:val="bottom"/>
            <w:hideMark/>
          </w:tcPr>
          <w:p w:rsidR="003C13CD" w:rsidRPr="006552E9" w:rsidRDefault="003C13CD" w:rsidP="00A52484">
            <w:pPr>
              <w:spacing w:before="0"/>
              <w:jc w:val="right"/>
              <w:rPr>
                <w:rFonts w:cs="Arial"/>
                <w:b/>
                <w:bCs/>
                <w:sz w:val="20"/>
                <w:szCs w:val="20"/>
              </w:rPr>
            </w:pPr>
            <w:r w:rsidRPr="006552E9">
              <w:rPr>
                <w:rFonts w:cs="Arial"/>
                <w:b/>
                <w:bCs/>
                <w:sz w:val="20"/>
                <w:szCs w:val="20"/>
              </w:rPr>
              <w:t xml:space="preserve"> $000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2E460F" w:rsidP="002E460F">
            <w:pPr>
              <w:spacing w:before="0"/>
              <w:jc w:val="left"/>
              <w:rPr>
                <w:rFonts w:cs="Arial"/>
                <w:sz w:val="20"/>
                <w:szCs w:val="20"/>
              </w:rPr>
            </w:pPr>
            <w:r w:rsidRPr="006552E9">
              <w:rPr>
                <w:rFonts w:cs="Arial"/>
                <w:sz w:val="20"/>
                <w:szCs w:val="20"/>
              </w:rPr>
              <w:t>Auditor</w:t>
            </w:r>
            <w:r>
              <w:rPr>
                <w:rFonts w:cs="Arial"/>
                <w:sz w:val="20"/>
                <w:szCs w:val="20"/>
              </w:rPr>
              <w:t>’</w:t>
            </w:r>
            <w:r w:rsidRPr="006552E9">
              <w:rPr>
                <w:rFonts w:cs="Arial"/>
                <w:sz w:val="20"/>
                <w:szCs w:val="20"/>
              </w:rPr>
              <w:t>s remuneration</w:t>
            </w:r>
            <w:r w:rsidR="00C02722">
              <w:rPr>
                <w:rFonts w:cs="Arial"/>
                <w:sz w:val="20"/>
                <w:szCs w:val="20"/>
              </w:rPr>
              <w:t xml:space="preserve"> </w:t>
            </w:r>
            <w:r>
              <w:rPr>
                <w:rFonts w:cs="Arial"/>
                <w:sz w:val="20"/>
                <w:szCs w:val="20"/>
              </w:rPr>
              <w:t>–</w:t>
            </w:r>
            <w:r w:rsidRPr="006552E9">
              <w:rPr>
                <w:rFonts w:cs="Arial"/>
                <w:sz w:val="20"/>
                <w:szCs w:val="20"/>
              </w:rPr>
              <w:t xml:space="preserve"> Audit New Zealand</w:t>
            </w:r>
            <w:r w:rsidR="00C02722">
              <w:rPr>
                <w:rFonts w:cs="Arial"/>
                <w:sz w:val="20"/>
                <w:szCs w:val="20"/>
              </w:rPr>
              <w:t xml:space="preserve"> </w:t>
            </w:r>
            <w:r>
              <w:rPr>
                <w:rFonts w:cs="Arial"/>
                <w:sz w:val="20"/>
                <w:szCs w:val="20"/>
              </w:rPr>
              <w:t>–</w:t>
            </w:r>
            <w:r w:rsidR="003C13CD" w:rsidRPr="006552E9">
              <w:rPr>
                <w:rFonts w:cs="Arial"/>
                <w:sz w:val="20"/>
                <w:szCs w:val="20"/>
              </w:rPr>
              <w:t xml:space="preserve"> for audit of financial statements</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ind w:firstLineChars="100" w:firstLine="20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54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52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Council, board and committee fees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r w:rsidRPr="006552E9">
              <w:rPr>
                <w:rFonts w:cs="Arial"/>
                <w:sz w:val="20"/>
                <w:szCs w:val="20"/>
              </w:rPr>
              <w:t>9</w:t>
            </w:r>
          </w:p>
        </w:tc>
        <w:tc>
          <w:tcPr>
            <w:tcW w:w="120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273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269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Operating lease payments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189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164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Loss on gifting of work of art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r w:rsidRPr="006552E9">
              <w:rPr>
                <w:rFonts w:cs="Arial"/>
                <w:sz w:val="20"/>
                <w:szCs w:val="20"/>
              </w:rPr>
              <w:t>15</w:t>
            </w:r>
          </w:p>
        </w:tc>
        <w:tc>
          <w:tcPr>
            <w:tcW w:w="1200" w:type="dxa"/>
            <w:tcBorders>
              <w:top w:val="nil"/>
              <w:left w:val="nil"/>
              <w:bottom w:val="nil"/>
              <w:right w:val="nil"/>
            </w:tcBorders>
            <w:shd w:val="clear" w:color="auto" w:fill="auto"/>
            <w:noWrap/>
            <w:vAlign w:val="bottom"/>
            <w:hideMark/>
          </w:tcPr>
          <w:p w:rsidR="003C13CD"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835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Loss on revaluation of investment property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r w:rsidRPr="006552E9">
              <w:rPr>
                <w:rFonts w:cs="Arial"/>
                <w:sz w:val="20"/>
                <w:szCs w:val="20"/>
              </w:rPr>
              <w:t>16</w:t>
            </w:r>
          </w:p>
        </w:tc>
        <w:tc>
          <w:tcPr>
            <w:tcW w:w="1200" w:type="dxa"/>
            <w:tcBorders>
              <w:top w:val="nil"/>
              <w:left w:val="nil"/>
              <w:bottom w:val="nil"/>
              <w:right w:val="nil"/>
            </w:tcBorders>
            <w:shd w:val="clear" w:color="auto" w:fill="auto"/>
            <w:noWrap/>
            <w:vAlign w:val="bottom"/>
            <w:hideMark/>
          </w:tcPr>
          <w:p w:rsidR="003C13CD"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228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Loss on revaluation of land and building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r w:rsidRPr="006552E9">
              <w:rPr>
                <w:rFonts w:cs="Arial"/>
                <w:sz w:val="20"/>
                <w:szCs w:val="20"/>
              </w:rPr>
              <w:t>14</w:t>
            </w:r>
          </w:p>
        </w:tc>
        <w:tc>
          <w:tcPr>
            <w:tcW w:w="1200" w:type="dxa"/>
            <w:tcBorders>
              <w:top w:val="nil"/>
              <w:left w:val="nil"/>
              <w:bottom w:val="nil"/>
              <w:right w:val="nil"/>
            </w:tcBorders>
            <w:shd w:val="clear" w:color="auto" w:fill="auto"/>
            <w:noWrap/>
            <w:vAlign w:val="bottom"/>
            <w:hideMark/>
          </w:tcPr>
          <w:p w:rsidR="003C13CD"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69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Net loss on disposal of property, plant and equipment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r w:rsidRPr="006552E9">
              <w:rPr>
                <w:rFonts w:cs="Arial"/>
                <w:sz w:val="20"/>
                <w:szCs w:val="20"/>
              </w:rPr>
              <w:t>14</w:t>
            </w:r>
          </w:p>
        </w:tc>
        <w:tc>
          <w:tcPr>
            <w:tcW w:w="120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13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46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Net foreign exchange loss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3C13CD"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10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r w:rsidRPr="006552E9">
              <w:rPr>
                <w:rFonts w:cs="Arial"/>
                <w:sz w:val="20"/>
                <w:szCs w:val="20"/>
              </w:rPr>
              <w:t xml:space="preserve"> Other expenses </w:t>
            </w: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1,891 </w:t>
            </w:r>
          </w:p>
        </w:tc>
        <w:tc>
          <w:tcPr>
            <w:tcW w:w="1240" w:type="dxa"/>
            <w:tcBorders>
              <w:top w:val="nil"/>
              <w:left w:val="nil"/>
              <w:bottom w:val="nil"/>
              <w:right w:val="nil"/>
            </w:tcBorders>
            <w:shd w:val="clear" w:color="auto" w:fill="auto"/>
            <w:noWrap/>
            <w:vAlign w:val="bottom"/>
            <w:hideMark/>
          </w:tcPr>
          <w:p w:rsidR="003C13CD" w:rsidRPr="006552E9" w:rsidRDefault="00A52484" w:rsidP="00A52484">
            <w:pPr>
              <w:spacing w:before="0"/>
              <w:jc w:val="right"/>
              <w:rPr>
                <w:rFonts w:cs="Arial"/>
                <w:sz w:val="20"/>
                <w:szCs w:val="20"/>
              </w:rPr>
            </w:pPr>
            <w:r w:rsidRPr="006552E9">
              <w:rPr>
                <w:rFonts w:cs="Arial"/>
                <w:sz w:val="20"/>
                <w:szCs w:val="20"/>
              </w:rPr>
              <w:t xml:space="preserve"> </w:t>
            </w:r>
            <w:r w:rsidR="003C13CD" w:rsidRPr="006552E9">
              <w:rPr>
                <w:rFonts w:cs="Arial"/>
                <w:sz w:val="20"/>
                <w:szCs w:val="20"/>
              </w:rPr>
              <w:t xml:space="preserve">2,179 </w:t>
            </w:r>
          </w:p>
        </w:tc>
      </w:tr>
      <w:tr w:rsidR="003C13CD" w:rsidRPr="006552E9" w:rsidTr="00A52484">
        <w:trPr>
          <w:trHeight w:val="255"/>
        </w:trPr>
        <w:tc>
          <w:tcPr>
            <w:tcW w:w="5827" w:type="dxa"/>
            <w:tcBorders>
              <w:top w:val="nil"/>
              <w:left w:val="nil"/>
              <w:bottom w:val="nil"/>
              <w:right w:val="nil"/>
            </w:tcBorders>
            <w:shd w:val="clear" w:color="auto" w:fill="auto"/>
            <w:noWrap/>
            <w:vAlign w:val="bottom"/>
            <w:hideMark/>
          </w:tcPr>
          <w:p w:rsidR="003C13CD" w:rsidRPr="006552E9" w:rsidRDefault="003C13CD" w:rsidP="003C13CD">
            <w:pPr>
              <w:spacing w:before="0"/>
              <w:jc w:val="left"/>
              <w:rPr>
                <w:rFonts w:cs="Arial"/>
                <w:sz w:val="20"/>
                <w:szCs w:val="20"/>
              </w:rPr>
            </w:pPr>
          </w:p>
        </w:tc>
        <w:tc>
          <w:tcPr>
            <w:tcW w:w="851" w:type="dxa"/>
            <w:tcBorders>
              <w:top w:val="nil"/>
              <w:left w:val="nil"/>
              <w:bottom w:val="nil"/>
              <w:right w:val="nil"/>
            </w:tcBorders>
            <w:shd w:val="clear" w:color="auto" w:fill="auto"/>
            <w:noWrap/>
            <w:vAlign w:val="bottom"/>
            <w:hideMark/>
          </w:tcPr>
          <w:p w:rsidR="003C13CD" w:rsidRPr="006552E9" w:rsidRDefault="003C13CD" w:rsidP="00A52484">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3C13CD" w:rsidRPr="006552E9" w:rsidRDefault="00A52484" w:rsidP="00A52484">
            <w:pPr>
              <w:spacing w:before="0"/>
              <w:jc w:val="right"/>
              <w:rPr>
                <w:rFonts w:cs="Arial"/>
                <w:b/>
                <w:bCs/>
                <w:sz w:val="20"/>
                <w:szCs w:val="20"/>
              </w:rPr>
            </w:pPr>
            <w:r w:rsidRPr="006552E9">
              <w:rPr>
                <w:rFonts w:cs="Arial"/>
                <w:b/>
                <w:bCs/>
                <w:sz w:val="20"/>
                <w:szCs w:val="20"/>
              </w:rPr>
              <w:t xml:space="preserve"> </w:t>
            </w:r>
            <w:r w:rsidR="003C13CD" w:rsidRPr="006552E9">
              <w:rPr>
                <w:rFonts w:cs="Arial"/>
                <w:b/>
                <w:bCs/>
                <w:sz w:val="20"/>
                <w:szCs w:val="20"/>
              </w:rPr>
              <w:t xml:space="preserve">2,420 </w:t>
            </w:r>
          </w:p>
        </w:tc>
        <w:tc>
          <w:tcPr>
            <w:tcW w:w="1240" w:type="dxa"/>
            <w:tcBorders>
              <w:top w:val="single" w:sz="4" w:space="0" w:color="auto"/>
              <w:left w:val="nil"/>
              <w:bottom w:val="single" w:sz="4" w:space="0" w:color="auto"/>
              <w:right w:val="nil"/>
            </w:tcBorders>
            <w:shd w:val="clear" w:color="auto" w:fill="auto"/>
            <w:noWrap/>
            <w:vAlign w:val="bottom"/>
            <w:hideMark/>
          </w:tcPr>
          <w:p w:rsidR="003C13CD" w:rsidRPr="006552E9" w:rsidRDefault="00A52484" w:rsidP="00A52484">
            <w:pPr>
              <w:spacing w:before="0"/>
              <w:jc w:val="right"/>
              <w:rPr>
                <w:rFonts w:cs="Arial"/>
                <w:b/>
                <w:bCs/>
                <w:sz w:val="20"/>
                <w:szCs w:val="20"/>
              </w:rPr>
            </w:pPr>
            <w:r w:rsidRPr="006552E9">
              <w:rPr>
                <w:rFonts w:cs="Arial"/>
                <w:b/>
                <w:bCs/>
                <w:sz w:val="20"/>
                <w:szCs w:val="20"/>
              </w:rPr>
              <w:t xml:space="preserve"> </w:t>
            </w:r>
            <w:r w:rsidR="003C13CD" w:rsidRPr="006552E9">
              <w:rPr>
                <w:rFonts w:cs="Arial"/>
                <w:b/>
                <w:bCs/>
                <w:sz w:val="20"/>
                <w:szCs w:val="20"/>
              </w:rPr>
              <w:t xml:space="preserve">3,852 </w:t>
            </w:r>
          </w:p>
        </w:tc>
      </w:tr>
    </w:tbl>
    <w:p w:rsidR="003C13CD" w:rsidRPr="006552E9" w:rsidRDefault="003C13CD" w:rsidP="00E22C83">
      <w:pPr>
        <w:pStyle w:val="Style1"/>
      </w:pPr>
      <w:bookmarkStart w:id="97" w:name="_Toc339551261"/>
      <w:r w:rsidRPr="006552E9">
        <w:t>9.</w:t>
      </w:r>
      <w:r w:rsidRPr="006552E9">
        <w:tab/>
        <w:t>Council, board and committee fees</w:t>
      </w:r>
      <w:bookmarkEnd w:id="97"/>
    </w:p>
    <w:p w:rsidR="003C13CD" w:rsidRPr="006552E9" w:rsidRDefault="003C13CD" w:rsidP="003C13CD">
      <w:r w:rsidRPr="006552E9">
        <w:t>Arts Council, Arts Board, Te Waka Toi and Pacific Arts Committee members earned the following fees and honoraria during the year for attendance at Council, board and/or assessment committee meetings.</w:t>
      </w:r>
    </w:p>
    <w:p w:rsidR="00175E6D" w:rsidRPr="006552E9" w:rsidRDefault="00175E6D" w:rsidP="00175E6D">
      <w:pPr>
        <w:spacing w:before="0"/>
        <w:jc w:val="left"/>
      </w:pPr>
    </w:p>
    <w:tbl>
      <w:tblPr>
        <w:tblW w:w="9118" w:type="dxa"/>
        <w:tblInd w:w="93" w:type="dxa"/>
        <w:tblLook w:val="04A0" w:firstRow="1" w:lastRow="0" w:firstColumn="1" w:lastColumn="0" w:noHBand="0" w:noVBand="1"/>
      </w:tblPr>
      <w:tblGrid>
        <w:gridCol w:w="6678"/>
        <w:gridCol w:w="1200"/>
        <w:gridCol w:w="1240"/>
      </w:tblGrid>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b/>
                <w:bCs/>
                <w:sz w:val="20"/>
                <w:szCs w:val="20"/>
              </w:rPr>
            </w:pP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2013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2012 </w:t>
            </w:r>
          </w:p>
        </w:tc>
      </w:tr>
      <w:tr w:rsidR="00A52484" w:rsidRPr="006552E9" w:rsidTr="00A52484">
        <w:trPr>
          <w:trHeight w:val="255"/>
        </w:trPr>
        <w:tc>
          <w:tcPr>
            <w:tcW w:w="6678" w:type="dxa"/>
            <w:tcBorders>
              <w:top w:val="nil"/>
              <w:left w:val="nil"/>
              <w:bottom w:val="single" w:sz="4" w:space="0" w:color="auto"/>
              <w:right w:val="nil"/>
            </w:tcBorders>
            <w:shd w:val="clear" w:color="auto" w:fill="auto"/>
            <w:noWrap/>
            <w:vAlign w:val="bottom"/>
            <w:hideMark/>
          </w:tcPr>
          <w:p w:rsidR="00A52484" w:rsidRPr="006552E9" w:rsidRDefault="00A52484" w:rsidP="003C13CD">
            <w:pPr>
              <w:spacing w:before="0"/>
              <w:jc w:val="left"/>
              <w:rPr>
                <w:rFonts w:cs="Arial"/>
                <w:b/>
                <w:bCs/>
                <w:sz w:val="20"/>
                <w:szCs w:val="20"/>
              </w:rPr>
            </w:pPr>
            <w:r w:rsidRPr="006552E9">
              <w:rPr>
                <w:rFonts w:cs="Arial"/>
                <w:b/>
                <w:bCs/>
                <w:sz w:val="20"/>
                <w:szCs w:val="20"/>
              </w:rPr>
              <w:t>Member</w:t>
            </w:r>
          </w:p>
        </w:tc>
        <w:tc>
          <w:tcPr>
            <w:tcW w:w="120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 </w:t>
            </w:r>
          </w:p>
        </w:tc>
        <w:tc>
          <w:tcPr>
            <w:tcW w:w="1240" w:type="dxa"/>
            <w:tcBorders>
              <w:top w:val="nil"/>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A Carruthers (Chair, Arts Council to 31 March 2013)</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24,000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32,000 </w:t>
            </w:r>
          </w:p>
        </w:tc>
      </w:tr>
      <w:tr w:rsidR="00A52484" w:rsidRPr="006552E9" w:rsidTr="00A52484">
        <w:trPr>
          <w:trHeight w:val="510"/>
        </w:trPr>
        <w:tc>
          <w:tcPr>
            <w:tcW w:w="6678" w:type="dxa"/>
            <w:tcBorders>
              <w:top w:val="nil"/>
              <w:left w:val="nil"/>
              <w:bottom w:val="nil"/>
              <w:right w:val="nil"/>
            </w:tcBorders>
            <w:shd w:val="clear" w:color="auto" w:fill="auto"/>
            <w:vAlign w:val="bottom"/>
            <w:hideMark/>
          </w:tcPr>
          <w:p w:rsidR="00A52484" w:rsidRPr="006552E9" w:rsidRDefault="00A52484" w:rsidP="003C13CD">
            <w:pPr>
              <w:spacing w:before="0"/>
              <w:jc w:val="left"/>
              <w:rPr>
                <w:rFonts w:cs="Arial"/>
                <w:sz w:val="20"/>
                <w:szCs w:val="20"/>
              </w:rPr>
            </w:pPr>
            <w:r w:rsidRPr="006552E9">
              <w:rPr>
                <w:rFonts w:cs="Arial"/>
                <w:sz w:val="20"/>
                <w:szCs w:val="20"/>
              </w:rPr>
              <w:t>R Grant (Arts Council member from 23 July 2013; Chair, Arts Council from 1 April 2013)</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14,585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A Sorrell (Chair, Arts Board)</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21,000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21,000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D Haimona (Chair, Te Waka Toi)</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21,000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21,000 </w:t>
            </w:r>
          </w:p>
        </w:tc>
      </w:tr>
      <w:tr w:rsidR="00A52484" w:rsidRPr="006552E9" w:rsidTr="00A52484">
        <w:trPr>
          <w:trHeight w:val="510"/>
        </w:trPr>
        <w:tc>
          <w:tcPr>
            <w:tcW w:w="6678" w:type="dxa"/>
            <w:tcBorders>
              <w:top w:val="nil"/>
              <w:left w:val="nil"/>
              <w:bottom w:val="nil"/>
              <w:right w:val="nil"/>
            </w:tcBorders>
            <w:shd w:val="clear" w:color="auto" w:fill="auto"/>
            <w:vAlign w:val="bottom"/>
            <w:hideMark/>
          </w:tcPr>
          <w:p w:rsidR="00A52484" w:rsidRPr="006552E9" w:rsidRDefault="00A52484" w:rsidP="006F3E33">
            <w:pPr>
              <w:spacing w:before="0"/>
              <w:jc w:val="left"/>
              <w:rPr>
                <w:rFonts w:cs="Arial"/>
                <w:sz w:val="20"/>
                <w:szCs w:val="20"/>
              </w:rPr>
            </w:pPr>
            <w:r w:rsidRPr="006552E9">
              <w:rPr>
                <w:rFonts w:cs="Arial"/>
                <w:sz w:val="20"/>
                <w:szCs w:val="20"/>
              </w:rPr>
              <w:t>P Walker (Chair, Pacific Arts Committee, and Arts Board member, to 28</w:t>
            </w:r>
            <w:r w:rsidR="006F3E33">
              <w:rPr>
                <w:rFonts w:cs="Arial"/>
                <w:sz w:val="20"/>
                <w:szCs w:val="20"/>
              </w:rPr>
              <w:t> </w:t>
            </w:r>
            <w:r w:rsidRPr="006552E9">
              <w:rPr>
                <w:rFonts w:cs="Arial"/>
                <w:sz w:val="20"/>
                <w:szCs w:val="20"/>
              </w:rPr>
              <w:t>February 2013)</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9,067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14,300 </w:t>
            </w:r>
          </w:p>
        </w:tc>
      </w:tr>
      <w:tr w:rsidR="00A52484" w:rsidRPr="006552E9" w:rsidTr="00A52484">
        <w:trPr>
          <w:trHeight w:val="510"/>
        </w:trPr>
        <w:tc>
          <w:tcPr>
            <w:tcW w:w="6678" w:type="dxa"/>
            <w:tcBorders>
              <w:top w:val="nil"/>
              <w:left w:val="nil"/>
              <w:bottom w:val="nil"/>
              <w:right w:val="nil"/>
            </w:tcBorders>
            <w:shd w:val="clear" w:color="auto" w:fill="auto"/>
            <w:vAlign w:val="bottom"/>
            <w:hideMark/>
          </w:tcPr>
          <w:p w:rsidR="00A52484" w:rsidRPr="006552E9" w:rsidRDefault="00A52484" w:rsidP="006F3E33">
            <w:pPr>
              <w:spacing w:before="0"/>
              <w:jc w:val="left"/>
              <w:rPr>
                <w:rFonts w:cs="Arial"/>
                <w:sz w:val="20"/>
                <w:szCs w:val="20"/>
              </w:rPr>
            </w:pPr>
            <w:r w:rsidRPr="006552E9">
              <w:rPr>
                <w:rFonts w:cs="Arial"/>
                <w:sz w:val="20"/>
                <w:szCs w:val="20"/>
              </w:rPr>
              <w:t>W Laban (Chair, Pacific Arts Committee, and Arts Board member, from 1</w:t>
            </w:r>
            <w:r w:rsidR="006F3E33">
              <w:rPr>
                <w:rFonts w:cs="Arial"/>
                <w:sz w:val="20"/>
                <w:szCs w:val="20"/>
              </w:rPr>
              <w:t> </w:t>
            </w:r>
            <w:r w:rsidRPr="006552E9">
              <w:rPr>
                <w:rFonts w:cs="Arial"/>
                <w:sz w:val="20"/>
                <w:szCs w:val="20"/>
              </w:rPr>
              <w:t>March 2013)</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5,233 </w:t>
            </w:r>
          </w:p>
        </w:tc>
        <w:tc>
          <w:tcPr>
            <w:tcW w:w="124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A Rush (Arts Council and Arts Board member)</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14,650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15,280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E Henare</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J Wallace</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H Kedgley</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J Davidson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M Prentice</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T Snow</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N Tanczos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J Afford</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2E460F" w:rsidP="002E460F">
            <w:pPr>
              <w:spacing w:before="0"/>
              <w:jc w:val="left"/>
              <w:rPr>
                <w:rFonts w:cs="Arial"/>
                <w:sz w:val="20"/>
                <w:szCs w:val="20"/>
              </w:rPr>
            </w:pPr>
            <w:r>
              <w:rPr>
                <w:rFonts w:cs="Arial"/>
                <w:sz w:val="20"/>
                <w:szCs w:val="20"/>
              </w:rPr>
              <w:t>K Te Waru</w:t>
            </w:r>
            <w:r w:rsidR="00A52484" w:rsidRPr="006552E9">
              <w:rPr>
                <w:rFonts w:cs="Arial"/>
                <w:sz w:val="20"/>
                <w:szCs w:val="20"/>
              </w:rPr>
              <w:t>-Rewiri</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J Huria</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T Maxwell</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M Mahuika</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N Gray</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11,495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M Sciascia</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11,495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11,500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 xml:space="preserve">F </w:t>
            </w:r>
            <w:r w:rsidR="006F3E33">
              <w:rPr>
                <w:rFonts w:cs="Arial"/>
                <w:sz w:val="20"/>
                <w:szCs w:val="20"/>
              </w:rPr>
              <w:t>Pulotu-Ende</w:t>
            </w:r>
            <w:r w:rsidRPr="006552E9">
              <w:rPr>
                <w:rFonts w:cs="Arial"/>
                <w:sz w:val="20"/>
                <w:szCs w:val="20"/>
              </w:rPr>
              <w:t>mann</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1,885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1,680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T Ness</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2,030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2,380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M Papau</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1,710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2,030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2E460F">
            <w:pPr>
              <w:spacing w:before="0"/>
              <w:jc w:val="left"/>
              <w:rPr>
                <w:rFonts w:cs="Arial"/>
                <w:sz w:val="20"/>
                <w:szCs w:val="20"/>
              </w:rPr>
            </w:pPr>
            <w:r w:rsidRPr="006552E9">
              <w:rPr>
                <w:rFonts w:cs="Arial"/>
                <w:sz w:val="20"/>
                <w:szCs w:val="20"/>
              </w:rPr>
              <w:t>K Mahina-Tuai</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2,060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1,650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C Rangi</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2,060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1,440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S Elliot</w:t>
            </w:r>
          </w:p>
        </w:tc>
        <w:tc>
          <w:tcPr>
            <w:tcW w:w="120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1,060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1,440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S Iosefa (term ended 30 September 2011)</w:t>
            </w:r>
          </w:p>
        </w:tc>
        <w:tc>
          <w:tcPr>
            <w:tcW w:w="120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350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T Vao (term ended 30 September 2011)</w:t>
            </w:r>
          </w:p>
        </w:tc>
        <w:tc>
          <w:tcPr>
            <w:tcW w:w="120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350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F Hartnell (term ended 31 December 2011)</w:t>
            </w:r>
          </w:p>
        </w:tc>
        <w:tc>
          <w:tcPr>
            <w:tcW w:w="120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940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sz w:val="20"/>
                <w:szCs w:val="20"/>
              </w:rPr>
            </w:pPr>
            <w:r w:rsidRPr="006552E9">
              <w:rPr>
                <w:rFonts w:cs="Arial"/>
                <w:sz w:val="20"/>
                <w:szCs w:val="20"/>
              </w:rPr>
              <w:t>J Puka (term ended 28 February 2012)</w:t>
            </w:r>
          </w:p>
        </w:tc>
        <w:tc>
          <w:tcPr>
            <w:tcW w:w="1200" w:type="dxa"/>
            <w:tcBorders>
              <w:top w:val="nil"/>
              <w:left w:val="nil"/>
              <w:bottom w:val="nil"/>
              <w:right w:val="nil"/>
            </w:tcBorders>
            <w:shd w:val="clear" w:color="auto" w:fill="auto"/>
            <w:noWrap/>
            <w:vAlign w:val="bottom"/>
            <w:hideMark/>
          </w:tcPr>
          <w:p w:rsidR="00A52484" w:rsidRPr="006552E9" w:rsidRDefault="00C02722" w:rsidP="00A52484">
            <w:pPr>
              <w:spacing w:before="0"/>
              <w:jc w:val="right"/>
              <w:rPr>
                <w:rFonts w:cs="Arial"/>
                <w:sz w:val="20"/>
                <w:szCs w:val="20"/>
              </w:rPr>
            </w:pPr>
            <w:r>
              <w:rPr>
                <w:rFonts w:cs="Arial"/>
                <w:sz w:val="20"/>
                <w:szCs w:val="20"/>
              </w:rPr>
              <w:t xml:space="preserve"> </w:t>
            </w:r>
            <w:r w:rsidR="002E460F">
              <w:rPr>
                <w:rFonts w:cs="Arial"/>
                <w:sz w:val="20"/>
                <w:szCs w:val="20"/>
              </w:rPr>
              <w:t>–</w:t>
            </w:r>
            <w:r w:rsidR="00A52484" w:rsidRPr="006552E9">
              <w:rPr>
                <w:rFonts w:cs="Arial"/>
                <w:sz w:val="20"/>
                <w:szCs w:val="20"/>
              </w:rPr>
              <w:t xml:space="preserve"> </w:t>
            </w:r>
          </w:p>
        </w:tc>
        <w:tc>
          <w:tcPr>
            <w:tcW w:w="1240" w:type="dxa"/>
            <w:tcBorders>
              <w:top w:val="nil"/>
              <w:left w:val="nil"/>
              <w:bottom w:val="nil"/>
              <w:right w:val="nil"/>
            </w:tcBorders>
            <w:shd w:val="clear" w:color="auto" w:fill="auto"/>
            <w:noWrap/>
            <w:vAlign w:val="bottom"/>
            <w:hideMark/>
          </w:tcPr>
          <w:p w:rsidR="00A52484" w:rsidRPr="006552E9" w:rsidRDefault="00A52484" w:rsidP="00A52484">
            <w:pPr>
              <w:spacing w:before="0"/>
              <w:jc w:val="right"/>
              <w:rPr>
                <w:rFonts w:cs="Arial"/>
                <w:sz w:val="20"/>
                <w:szCs w:val="20"/>
              </w:rPr>
            </w:pPr>
            <w:r w:rsidRPr="006552E9">
              <w:rPr>
                <w:rFonts w:cs="Arial"/>
                <w:sz w:val="20"/>
                <w:szCs w:val="20"/>
              </w:rPr>
              <w:t xml:space="preserve"> 590 </w:t>
            </w:r>
          </w:p>
        </w:tc>
      </w:tr>
      <w:tr w:rsidR="00A52484" w:rsidRPr="006552E9" w:rsidTr="00A52484">
        <w:trPr>
          <w:trHeight w:val="255"/>
        </w:trPr>
        <w:tc>
          <w:tcPr>
            <w:tcW w:w="6678" w:type="dxa"/>
            <w:tcBorders>
              <w:top w:val="nil"/>
              <w:left w:val="nil"/>
              <w:bottom w:val="nil"/>
              <w:right w:val="nil"/>
            </w:tcBorders>
            <w:shd w:val="clear" w:color="auto" w:fill="auto"/>
            <w:noWrap/>
            <w:vAlign w:val="bottom"/>
            <w:hideMark/>
          </w:tcPr>
          <w:p w:rsidR="00A52484" w:rsidRPr="006552E9" w:rsidRDefault="00A52484" w:rsidP="003C13CD">
            <w:pPr>
              <w:spacing w:before="0"/>
              <w:jc w:val="left"/>
              <w:rPr>
                <w:rFonts w:cs="Arial"/>
                <w:b/>
                <w:bCs/>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273,330 </w:t>
            </w:r>
          </w:p>
        </w:tc>
        <w:tc>
          <w:tcPr>
            <w:tcW w:w="1240" w:type="dxa"/>
            <w:tcBorders>
              <w:top w:val="single" w:sz="4" w:space="0" w:color="auto"/>
              <w:left w:val="nil"/>
              <w:bottom w:val="single" w:sz="4" w:space="0" w:color="auto"/>
              <w:right w:val="nil"/>
            </w:tcBorders>
            <w:shd w:val="clear" w:color="auto" w:fill="auto"/>
            <w:noWrap/>
            <w:vAlign w:val="bottom"/>
            <w:hideMark/>
          </w:tcPr>
          <w:p w:rsidR="00A52484" w:rsidRPr="006552E9" w:rsidRDefault="00A52484" w:rsidP="00A52484">
            <w:pPr>
              <w:spacing w:before="0"/>
              <w:jc w:val="right"/>
              <w:rPr>
                <w:rFonts w:cs="Arial"/>
                <w:b/>
                <w:bCs/>
                <w:sz w:val="20"/>
                <w:szCs w:val="20"/>
              </w:rPr>
            </w:pPr>
            <w:r w:rsidRPr="006552E9">
              <w:rPr>
                <w:rFonts w:cs="Arial"/>
                <w:b/>
                <w:bCs/>
                <w:sz w:val="20"/>
                <w:szCs w:val="20"/>
              </w:rPr>
              <w:t xml:space="preserve"> 269,430 </w:t>
            </w:r>
          </w:p>
        </w:tc>
      </w:tr>
    </w:tbl>
    <w:p w:rsidR="00A52484" w:rsidRPr="006552E9" w:rsidRDefault="00A52484" w:rsidP="00175E6D">
      <w:pPr>
        <w:spacing w:before="0"/>
        <w:jc w:val="left"/>
      </w:pPr>
    </w:p>
    <w:p w:rsidR="00A52484" w:rsidRPr="006552E9" w:rsidRDefault="00A52484" w:rsidP="00E22C83">
      <w:pPr>
        <w:pStyle w:val="Style1"/>
      </w:pPr>
      <w:bookmarkStart w:id="98" w:name="_Toc339551263"/>
      <w:r w:rsidRPr="006552E9">
        <w:t>10.</w:t>
      </w:r>
      <w:r w:rsidRPr="006552E9">
        <w:tab/>
        <w:t>Funding, capability building and advocacy</w:t>
      </w:r>
      <w:bookmarkEnd w:id="98"/>
      <w:r w:rsidRPr="006552E9">
        <w:t xml:space="preserve"> </w:t>
      </w:r>
    </w:p>
    <w:p w:rsidR="00DD485B" w:rsidRPr="006552E9" w:rsidRDefault="00DD485B" w:rsidP="00DD485B">
      <w:pPr>
        <w:pStyle w:val="Tabletext"/>
      </w:pPr>
    </w:p>
    <w:tbl>
      <w:tblPr>
        <w:tblW w:w="9038" w:type="dxa"/>
        <w:tblCellMar>
          <w:left w:w="0" w:type="dxa"/>
          <w:right w:w="0" w:type="dxa"/>
        </w:tblCellMar>
        <w:tblLook w:val="04A0" w:firstRow="1" w:lastRow="0" w:firstColumn="1" w:lastColumn="0" w:noHBand="0" w:noVBand="1"/>
      </w:tblPr>
      <w:tblGrid>
        <w:gridCol w:w="6678"/>
        <w:gridCol w:w="1240"/>
        <w:gridCol w:w="1120"/>
      </w:tblGrid>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1240"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ACTUAL </w:t>
            </w:r>
          </w:p>
        </w:tc>
        <w:tc>
          <w:tcPr>
            <w:tcW w:w="1120"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ACTUAL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2013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2012 </w:t>
            </w:r>
          </w:p>
        </w:tc>
      </w:tr>
      <w:tr w:rsidR="00C96140" w:rsidRPr="006552E9" w:rsidTr="00C96140">
        <w:tc>
          <w:tcPr>
            <w:tcW w:w="66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r w:rsidRPr="006552E9">
              <w:rPr>
                <w:rFonts w:cs="Arial"/>
                <w:b/>
                <w:bCs/>
                <w:sz w:val="20"/>
                <w:szCs w:val="2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$000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$000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r w:rsidRPr="006552E9">
              <w:rPr>
                <w:rFonts w:cs="Arial"/>
                <w:sz w:val="20"/>
                <w:szCs w:val="20"/>
              </w:rPr>
              <w:t xml:space="preserve"> Investment </w:t>
            </w:r>
            <w:r w:rsidR="006F3E33" w:rsidRPr="006552E9">
              <w:rPr>
                <w:rFonts w:cs="Arial"/>
                <w:sz w:val="20"/>
                <w:szCs w:val="20"/>
              </w:rPr>
              <w:t xml:space="preserve">programmes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Arts Leadership Investments (Tōtara)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14,034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14,062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Arts Development Investments (Kahikatea)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9,565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8,227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Recurrently Funded Organisations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02722" w:rsidP="00C96140">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303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23,599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22,592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r w:rsidRPr="006552E9">
              <w:rPr>
                <w:rFonts w:cs="Arial"/>
                <w:sz w:val="20"/>
                <w:szCs w:val="20"/>
              </w:rPr>
              <w:t xml:space="preserve"> Grants </w:t>
            </w:r>
            <w:r w:rsidR="006F3E33" w:rsidRPr="006552E9">
              <w:rPr>
                <w:rFonts w:cs="Arial"/>
                <w:sz w:val="20"/>
                <w:szCs w:val="20"/>
              </w:rPr>
              <w:t xml:space="preserve">funding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Arts Grants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4,251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4,422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Quick Response Grants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1,217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1,274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Christchurch Earthquake Support Fund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345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1,204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6F3E33" w:rsidP="00C96140">
            <w:pPr>
              <w:spacing w:before="0"/>
              <w:ind w:left="227"/>
              <w:rPr>
                <w:rFonts w:cs="Arial"/>
                <w:sz w:val="20"/>
                <w:szCs w:val="20"/>
              </w:rPr>
            </w:pPr>
            <w:r>
              <w:rPr>
                <w:rFonts w:cs="Arial"/>
                <w:sz w:val="20"/>
                <w:szCs w:val="20"/>
              </w:rPr>
              <w:t xml:space="preserve"> Sector Investment</w:t>
            </w:r>
            <w:r w:rsidR="00C96140" w:rsidRPr="006552E9">
              <w:rPr>
                <w:rFonts w:cs="Arial"/>
                <w:sz w:val="20"/>
                <w:szCs w:val="20"/>
              </w:rPr>
              <w:t xml:space="preserve"> Grants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02722" w:rsidP="00C96140">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214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Other Grants Funding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2,082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1,780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7,895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8,894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r w:rsidRPr="006552E9">
              <w:rPr>
                <w:rFonts w:cs="Arial"/>
                <w:sz w:val="20"/>
                <w:szCs w:val="20"/>
              </w:rPr>
              <w:t xml:space="preserve"> International </w:t>
            </w:r>
            <w:r w:rsidR="006F3E33" w:rsidRPr="006552E9">
              <w:rPr>
                <w:rFonts w:cs="Arial"/>
                <w:sz w:val="20"/>
                <w:szCs w:val="20"/>
              </w:rPr>
              <w:t xml:space="preserve">funding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Frankfurt Book Fair (2012 Country of Honour)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675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997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Venice Biennale *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526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335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Festival of Pacific Arts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242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471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Edinburgh/Glasgow 2014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67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02722" w:rsidP="00C96140">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6F3E33">
            <w:pPr>
              <w:spacing w:before="0"/>
              <w:ind w:left="227"/>
              <w:rPr>
                <w:rFonts w:cs="Arial"/>
                <w:sz w:val="20"/>
                <w:szCs w:val="20"/>
              </w:rPr>
            </w:pPr>
            <w:r w:rsidRPr="006552E9">
              <w:rPr>
                <w:rFonts w:cs="Arial"/>
                <w:sz w:val="20"/>
                <w:szCs w:val="20"/>
              </w:rPr>
              <w:t xml:space="preserve"> </w:t>
            </w:r>
            <w:r w:rsidR="006F3E33">
              <w:rPr>
                <w:rFonts w:cs="Arial"/>
                <w:sz w:val="20"/>
                <w:szCs w:val="20"/>
              </w:rPr>
              <w:t xml:space="preserve">International </w:t>
            </w:r>
            <w:r w:rsidR="006F3E33" w:rsidRPr="006552E9">
              <w:rPr>
                <w:rFonts w:cs="Arial"/>
                <w:sz w:val="20"/>
                <w:szCs w:val="20"/>
              </w:rPr>
              <w:t xml:space="preserve">presentation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705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439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2,215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2,242 </w:t>
            </w:r>
          </w:p>
        </w:tc>
      </w:tr>
      <w:tr w:rsidR="00DD485B"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tcPr>
          <w:p w:rsidR="00DD485B" w:rsidRPr="006552E9" w:rsidRDefault="00DD485B"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DD485B" w:rsidRPr="006552E9" w:rsidRDefault="00DD485B" w:rsidP="00C96140">
            <w:pPr>
              <w:spacing w:before="0"/>
              <w:jc w:val="right"/>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DD485B" w:rsidRPr="006552E9" w:rsidRDefault="00DD485B" w:rsidP="00C96140">
            <w:pPr>
              <w:spacing w:before="0"/>
              <w:jc w:val="right"/>
              <w:rPr>
                <w:rFonts w:cs="Arial"/>
                <w:b/>
                <w:bCs/>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r w:rsidRPr="006552E9">
              <w:rPr>
                <w:rFonts w:cs="Arial"/>
                <w:sz w:val="20"/>
                <w:szCs w:val="20"/>
              </w:rPr>
              <w:t xml:space="preserve"> Creative Communities Scheme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3,227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3,311 </w:t>
            </w:r>
          </w:p>
        </w:tc>
      </w:tr>
      <w:tr w:rsidR="00C96140" w:rsidRPr="006552E9" w:rsidTr="00C96140">
        <w:trPr>
          <w:trHeight w:val="227"/>
        </w:trPr>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r w:rsidRPr="006552E9">
              <w:rPr>
                <w:rFonts w:cs="Arial"/>
                <w:b/>
                <w:bCs/>
                <w:sz w:val="20"/>
                <w:szCs w:val="20"/>
              </w:rPr>
              <w:t xml:space="preserve"> Funding **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36,936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37,039 </w:t>
            </w:r>
          </w:p>
        </w:tc>
      </w:tr>
      <w:tr w:rsidR="00C96140" w:rsidRPr="006552E9" w:rsidTr="00C96140">
        <w:trPr>
          <w:trHeight w:hRule="exact" w:val="227"/>
        </w:trPr>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r w:rsidRPr="006552E9">
              <w:rPr>
                <w:rFonts w:cs="Arial"/>
                <w:b/>
                <w:bCs/>
                <w:sz w:val="20"/>
                <w:szCs w:val="20"/>
              </w:rPr>
              <w:t xml:space="preserve"> Capability </w:t>
            </w:r>
            <w:r w:rsidR="00186401" w:rsidRPr="006552E9">
              <w:rPr>
                <w:rFonts w:cs="Arial"/>
                <w:b/>
                <w:bCs/>
                <w:sz w:val="20"/>
                <w:szCs w:val="20"/>
              </w:rPr>
              <w:t xml:space="preserve">building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National programmes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996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597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ind w:left="227"/>
              <w:rPr>
                <w:rFonts w:cs="Arial"/>
                <w:sz w:val="20"/>
                <w:szCs w:val="20"/>
              </w:rPr>
            </w:pPr>
            <w:r w:rsidRPr="006552E9">
              <w:rPr>
                <w:rFonts w:cs="Arial"/>
                <w:sz w:val="20"/>
                <w:szCs w:val="20"/>
              </w:rPr>
              <w:t xml:space="preserve"> International programmes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510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530 </w:t>
            </w: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1,506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1,127 </w:t>
            </w:r>
          </w:p>
        </w:tc>
      </w:tr>
      <w:tr w:rsidR="00C96140" w:rsidRPr="006552E9" w:rsidTr="00DD485B">
        <w:trPr>
          <w:trHeight w:val="227"/>
        </w:trPr>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r w:rsidRPr="006552E9">
              <w:rPr>
                <w:rFonts w:cs="Arial"/>
                <w:b/>
                <w:bCs/>
                <w:sz w:val="20"/>
                <w:szCs w:val="20"/>
              </w:rPr>
              <w:t xml:space="preserve"> Advocacy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133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363 </w:t>
            </w:r>
          </w:p>
        </w:tc>
      </w:tr>
      <w:tr w:rsidR="00C96140" w:rsidRPr="006552E9" w:rsidTr="00DD485B">
        <w:trPr>
          <w:trHeight w:val="227"/>
        </w:trPr>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p>
        </w:tc>
      </w:tr>
      <w:tr w:rsidR="00C96140" w:rsidRPr="006552E9" w:rsidTr="00C96140">
        <w:tc>
          <w:tcPr>
            <w:tcW w:w="6678" w:type="dxa"/>
            <w:tcBorders>
              <w:top w:val="nil"/>
              <w:left w:val="nil"/>
              <w:bottom w:val="nil"/>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rPr>
                <w:rFonts w:cs="Arial"/>
                <w:b/>
                <w:bCs/>
                <w:sz w:val="20"/>
                <w:szCs w:val="20"/>
              </w:rPr>
            </w:pPr>
            <w:r w:rsidRPr="006552E9">
              <w:rPr>
                <w:rFonts w:cs="Arial"/>
                <w:b/>
                <w:bCs/>
                <w:sz w:val="20"/>
                <w:szCs w:val="20"/>
              </w:rPr>
              <w:t xml:space="preserve"> Total </w:t>
            </w:r>
            <w:r w:rsidR="00186401" w:rsidRPr="006552E9">
              <w:rPr>
                <w:rFonts w:cs="Arial"/>
                <w:b/>
                <w:bCs/>
                <w:sz w:val="20"/>
                <w:szCs w:val="20"/>
              </w:rPr>
              <w:t xml:space="preserve">funding, capability building and advocacy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38,575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38,529 </w:t>
            </w:r>
          </w:p>
        </w:tc>
      </w:tr>
    </w:tbl>
    <w:p w:rsidR="00C96140" w:rsidRPr="006552E9" w:rsidRDefault="00C96140" w:rsidP="00C96140">
      <w:r w:rsidRPr="006552E9">
        <w:t xml:space="preserve">Creative New Zealand is not in the practice of allocating personnel costs direct to </w:t>
      </w:r>
      <w:r w:rsidR="00186401" w:rsidRPr="006552E9">
        <w:t>funding, capability building and advocacy programmes.</w:t>
      </w:r>
    </w:p>
    <w:p w:rsidR="00C96140" w:rsidRPr="006552E9" w:rsidRDefault="00C96140" w:rsidP="00C96140">
      <w:r w:rsidRPr="006552E9">
        <w:t xml:space="preserve">* Venice Biennale expenditure in 2013 is partly off-set by income of $451,000 disclosed in note 5. The project runs over two years with the larger part of expenditure being incurred in the first year. </w:t>
      </w:r>
    </w:p>
    <w:p w:rsidR="00C96140" w:rsidRPr="006552E9" w:rsidRDefault="00C96140" w:rsidP="00C96140"/>
    <w:tbl>
      <w:tblPr>
        <w:tblW w:w="8976" w:type="dxa"/>
        <w:tblInd w:w="93" w:type="dxa"/>
        <w:tblLook w:val="04A0" w:firstRow="1" w:lastRow="0" w:firstColumn="1" w:lastColumn="0" w:noHBand="0" w:noVBand="1"/>
      </w:tblPr>
      <w:tblGrid>
        <w:gridCol w:w="6678"/>
        <w:gridCol w:w="1178"/>
        <w:gridCol w:w="1120"/>
      </w:tblGrid>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Total funding by the funding body was as follows: </w:t>
            </w:r>
          </w:p>
        </w:tc>
        <w:tc>
          <w:tcPr>
            <w:tcW w:w="1178"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b/>
                <w:bCs/>
                <w:sz w:val="20"/>
                <w:szCs w:val="20"/>
              </w:rPr>
            </w:pPr>
          </w:p>
        </w:tc>
        <w:tc>
          <w:tcPr>
            <w:tcW w:w="1120"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b/>
                <w:bCs/>
                <w:sz w:val="20"/>
                <w:szCs w:val="20"/>
              </w:rPr>
            </w:pPr>
          </w:p>
        </w:tc>
      </w:tr>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Arts Board </w:t>
            </w:r>
          </w:p>
        </w:tc>
        <w:tc>
          <w:tcPr>
            <w:tcW w:w="1178"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29,149 </w:t>
            </w:r>
          </w:p>
        </w:tc>
        <w:tc>
          <w:tcPr>
            <w:tcW w:w="1120"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30,143 </w:t>
            </w:r>
          </w:p>
        </w:tc>
      </w:tr>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Te Waka Toi </w:t>
            </w:r>
          </w:p>
        </w:tc>
        <w:tc>
          <w:tcPr>
            <w:tcW w:w="1178"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3,816 </w:t>
            </w:r>
          </w:p>
        </w:tc>
        <w:tc>
          <w:tcPr>
            <w:tcW w:w="1120"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3,468 </w:t>
            </w:r>
          </w:p>
        </w:tc>
      </w:tr>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Pacific Arts Committee </w:t>
            </w:r>
          </w:p>
        </w:tc>
        <w:tc>
          <w:tcPr>
            <w:tcW w:w="1178"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693 </w:t>
            </w:r>
          </w:p>
        </w:tc>
        <w:tc>
          <w:tcPr>
            <w:tcW w:w="1120"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644 </w:t>
            </w:r>
          </w:p>
        </w:tc>
      </w:tr>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Council and </w:t>
            </w:r>
            <w:r w:rsidR="00186401" w:rsidRPr="006552E9">
              <w:rPr>
                <w:rFonts w:cs="Arial"/>
                <w:sz w:val="20"/>
                <w:szCs w:val="20"/>
              </w:rPr>
              <w:t xml:space="preserve">other funding </w:t>
            </w:r>
          </w:p>
        </w:tc>
        <w:tc>
          <w:tcPr>
            <w:tcW w:w="1178"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3,278 </w:t>
            </w:r>
          </w:p>
        </w:tc>
        <w:tc>
          <w:tcPr>
            <w:tcW w:w="1120" w:type="dxa"/>
            <w:tcBorders>
              <w:top w:val="nil"/>
              <w:left w:val="nil"/>
              <w:bottom w:val="nil"/>
              <w:right w:val="nil"/>
            </w:tcBorders>
            <w:shd w:val="clear" w:color="auto" w:fill="auto"/>
            <w:noWrap/>
            <w:vAlign w:val="bottom"/>
            <w:hideMark/>
          </w:tcPr>
          <w:p w:rsidR="00C96140" w:rsidRPr="006552E9" w:rsidRDefault="00C96140" w:rsidP="00C96140">
            <w:pPr>
              <w:spacing w:before="0"/>
              <w:jc w:val="right"/>
              <w:rPr>
                <w:rFonts w:cs="Arial"/>
                <w:sz w:val="20"/>
                <w:szCs w:val="20"/>
              </w:rPr>
            </w:pPr>
            <w:r w:rsidRPr="006552E9">
              <w:rPr>
                <w:rFonts w:cs="Arial"/>
                <w:sz w:val="20"/>
                <w:szCs w:val="20"/>
              </w:rPr>
              <w:t xml:space="preserve"> 2,784 </w:t>
            </w:r>
          </w:p>
        </w:tc>
      </w:tr>
      <w:tr w:rsidR="00C96140" w:rsidRPr="006552E9" w:rsidTr="00DD485B">
        <w:trPr>
          <w:trHeight w:val="255"/>
        </w:trPr>
        <w:tc>
          <w:tcPr>
            <w:tcW w:w="6678"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b/>
                <w:bCs/>
                <w:sz w:val="20"/>
                <w:szCs w:val="20"/>
              </w:rPr>
            </w:pPr>
            <w:r w:rsidRPr="006552E9">
              <w:rPr>
                <w:rFonts w:cs="Arial"/>
                <w:b/>
                <w:bCs/>
                <w:sz w:val="20"/>
                <w:szCs w:val="20"/>
              </w:rPr>
              <w:t xml:space="preserve"> Total </w:t>
            </w:r>
            <w:r w:rsidR="00186401" w:rsidRPr="006552E9">
              <w:rPr>
                <w:rFonts w:cs="Arial"/>
                <w:b/>
                <w:bCs/>
                <w:sz w:val="20"/>
                <w:szCs w:val="20"/>
              </w:rPr>
              <w:t xml:space="preserve">funding </w:t>
            </w:r>
          </w:p>
        </w:tc>
        <w:tc>
          <w:tcPr>
            <w:tcW w:w="1178"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36,936 </w:t>
            </w:r>
          </w:p>
        </w:tc>
        <w:tc>
          <w:tcPr>
            <w:tcW w:w="1120"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96140">
            <w:pPr>
              <w:spacing w:before="0"/>
              <w:jc w:val="right"/>
              <w:rPr>
                <w:rFonts w:cs="Arial"/>
                <w:b/>
                <w:bCs/>
                <w:sz w:val="20"/>
                <w:szCs w:val="20"/>
              </w:rPr>
            </w:pPr>
            <w:r w:rsidRPr="006552E9">
              <w:rPr>
                <w:rFonts w:cs="Arial"/>
                <w:b/>
                <w:bCs/>
                <w:sz w:val="20"/>
                <w:szCs w:val="20"/>
              </w:rPr>
              <w:t xml:space="preserve"> 37,039 </w:t>
            </w:r>
          </w:p>
        </w:tc>
      </w:tr>
    </w:tbl>
    <w:p w:rsidR="00C96140" w:rsidRPr="006552E9" w:rsidRDefault="00C96140" w:rsidP="00E22C83">
      <w:pPr>
        <w:pStyle w:val="Style1"/>
      </w:pPr>
      <w:r w:rsidRPr="006552E9">
        <w:t>11.</w:t>
      </w:r>
      <w:r w:rsidRPr="006552E9">
        <w:tab/>
        <w:t>Cash and cash equivalents</w:t>
      </w:r>
    </w:p>
    <w:p w:rsidR="00DD485B" w:rsidRPr="006552E9" w:rsidRDefault="00DD485B" w:rsidP="00DD485B">
      <w:pPr>
        <w:pStyle w:val="Tabletext"/>
      </w:pPr>
    </w:p>
    <w:tbl>
      <w:tblPr>
        <w:tblW w:w="9120" w:type="dxa"/>
        <w:tblInd w:w="93" w:type="dxa"/>
        <w:tblLook w:val="04A0" w:firstRow="1" w:lastRow="0" w:firstColumn="1" w:lastColumn="0" w:noHBand="0" w:noVBand="1"/>
      </w:tblPr>
      <w:tblGrid>
        <w:gridCol w:w="6720"/>
        <w:gridCol w:w="1180"/>
        <w:gridCol w:w="1220"/>
      </w:tblGrid>
      <w:tr w:rsidR="00C96140" w:rsidRPr="006552E9" w:rsidTr="00DD485B">
        <w:trPr>
          <w:trHeight w:val="255"/>
        </w:trPr>
        <w:tc>
          <w:tcPr>
            <w:tcW w:w="6720" w:type="dxa"/>
            <w:tcBorders>
              <w:top w:val="nil"/>
              <w:left w:val="nil"/>
              <w:right w:val="nil"/>
            </w:tcBorders>
            <w:shd w:val="clear" w:color="auto" w:fill="auto"/>
            <w:noWrap/>
            <w:vAlign w:val="bottom"/>
            <w:hideMark/>
          </w:tcPr>
          <w:p w:rsidR="00C96140" w:rsidRPr="006552E9" w:rsidRDefault="00C96140" w:rsidP="00DD485B">
            <w:pPr>
              <w:keepNext/>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C96140" w:rsidRPr="006552E9" w:rsidRDefault="00C96140" w:rsidP="00DD485B">
            <w:pPr>
              <w:keepNext/>
              <w:spacing w:before="0"/>
              <w:jc w:val="right"/>
              <w:rPr>
                <w:rFonts w:cs="Arial"/>
                <w:b/>
                <w:bCs/>
                <w:sz w:val="20"/>
                <w:szCs w:val="20"/>
              </w:rPr>
            </w:pPr>
            <w:r w:rsidRPr="006552E9">
              <w:rPr>
                <w:rFonts w:cs="Arial"/>
                <w:b/>
                <w:bCs/>
                <w:sz w:val="20"/>
                <w:szCs w:val="20"/>
              </w:rPr>
              <w:t xml:space="preserve"> 2013 </w:t>
            </w:r>
          </w:p>
        </w:tc>
        <w:tc>
          <w:tcPr>
            <w:tcW w:w="1220" w:type="dxa"/>
            <w:tcBorders>
              <w:top w:val="nil"/>
              <w:left w:val="nil"/>
              <w:right w:val="nil"/>
            </w:tcBorders>
            <w:shd w:val="clear" w:color="auto" w:fill="auto"/>
            <w:noWrap/>
            <w:vAlign w:val="bottom"/>
            <w:hideMark/>
          </w:tcPr>
          <w:p w:rsidR="00C96140" w:rsidRPr="006552E9" w:rsidRDefault="00C96140" w:rsidP="00DD485B">
            <w:pPr>
              <w:keepNext/>
              <w:spacing w:before="0"/>
              <w:jc w:val="right"/>
              <w:rPr>
                <w:rFonts w:cs="Arial"/>
                <w:b/>
                <w:bCs/>
                <w:sz w:val="20"/>
                <w:szCs w:val="20"/>
              </w:rPr>
            </w:pPr>
            <w:r w:rsidRPr="006552E9">
              <w:rPr>
                <w:rFonts w:cs="Arial"/>
                <w:b/>
                <w:bCs/>
                <w:sz w:val="20"/>
                <w:szCs w:val="20"/>
              </w:rPr>
              <w:t xml:space="preserve"> 2012 </w:t>
            </w:r>
          </w:p>
        </w:tc>
      </w:tr>
      <w:tr w:rsidR="00C96140" w:rsidRPr="006552E9" w:rsidTr="00DD485B">
        <w:trPr>
          <w:trHeight w:val="255"/>
        </w:trPr>
        <w:tc>
          <w:tcPr>
            <w:tcW w:w="6720" w:type="dxa"/>
            <w:tcBorders>
              <w:top w:val="nil"/>
              <w:left w:val="nil"/>
              <w:bottom w:val="single" w:sz="4" w:space="0" w:color="auto"/>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$000 </w:t>
            </w:r>
          </w:p>
        </w:tc>
        <w:tc>
          <w:tcPr>
            <w:tcW w:w="1220" w:type="dxa"/>
            <w:tcBorders>
              <w:top w:val="nil"/>
              <w:left w:val="nil"/>
              <w:bottom w:val="single" w:sz="4" w:space="0" w:color="auto"/>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$000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Cash at bank and on hand</w:t>
            </w:r>
          </w:p>
        </w:tc>
        <w:tc>
          <w:tcPr>
            <w:tcW w:w="1180" w:type="dxa"/>
            <w:tcBorders>
              <w:top w:val="nil"/>
              <w:left w:val="nil"/>
              <w:bottom w:val="nil"/>
              <w:right w:val="nil"/>
            </w:tcBorders>
            <w:shd w:val="clear" w:color="auto" w:fill="auto"/>
            <w:noWrap/>
            <w:vAlign w:val="bottom"/>
            <w:hideMark/>
          </w:tcPr>
          <w:p w:rsidR="00C96140" w:rsidRPr="006552E9" w:rsidRDefault="00C96140" w:rsidP="00DD485B">
            <w:pPr>
              <w:spacing w:before="0"/>
              <w:jc w:val="right"/>
              <w:rPr>
                <w:rFonts w:cs="Arial"/>
                <w:sz w:val="20"/>
                <w:szCs w:val="20"/>
              </w:rPr>
            </w:pPr>
            <w:r w:rsidRPr="006552E9">
              <w:rPr>
                <w:rFonts w:cs="Arial"/>
                <w:sz w:val="20"/>
                <w:szCs w:val="20"/>
              </w:rPr>
              <w:t xml:space="preserve"> 32 </w:t>
            </w:r>
          </w:p>
        </w:tc>
        <w:tc>
          <w:tcPr>
            <w:tcW w:w="1220" w:type="dxa"/>
            <w:tcBorders>
              <w:top w:val="nil"/>
              <w:left w:val="nil"/>
              <w:bottom w:val="nil"/>
              <w:right w:val="nil"/>
            </w:tcBorders>
            <w:shd w:val="clear" w:color="auto" w:fill="auto"/>
            <w:noWrap/>
            <w:vAlign w:val="bottom"/>
            <w:hideMark/>
          </w:tcPr>
          <w:p w:rsidR="00C96140" w:rsidRPr="006552E9" w:rsidRDefault="00C96140" w:rsidP="00DD485B">
            <w:pPr>
              <w:spacing w:before="0"/>
              <w:jc w:val="right"/>
              <w:rPr>
                <w:rFonts w:cs="Arial"/>
                <w:sz w:val="20"/>
                <w:szCs w:val="20"/>
              </w:rPr>
            </w:pPr>
            <w:r w:rsidRPr="006552E9">
              <w:rPr>
                <w:rFonts w:cs="Arial"/>
                <w:sz w:val="20"/>
                <w:szCs w:val="20"/>
              </w:rPr>
              <w:t xml:space="preserve"> 43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186401" w:rsidP="00C96140">
            <w:pPr>
              <w:spacing w:before="0"/>
              <w:jc w:val="left"/>
              <w:rPr>
                <w:rFonts w:cs="Arial"/>
                <w:sz w:val="20"/>
                <w:szCs w:val="20"/>
              </w:rPr>
            </w:pPr>
            <w:r>
              <w:rPr>
                <w:rFonts w:cs="Arial"/>
                <w:sz w:val="20"/>
                <w:szCs w:val="20"/>
              </w:rPr>
              <w:t>Short-term</w:t>
            </w:r>
            <w:r w:rsidR="00C96140" w:rsidRPr="006552E9">
              <w:rPr>
                <w:rFonts w:cs="Arial"/>
                <w:sz w:val="20"/>
                <w:szCs w:val="20"/>
              </w:rPr>
              <w:t xml:space="preserve"> deposits</w:t>
            </w:r>
          </w:p>
        </w:tc>
        <w:tc>
          <w:tcPr>
            <w:tcW w:w="1180" w:type="dxa"/>
            <w:tcBorders>
              <w:top w:val="nil"/>
              <w:left w:val="nil"/>
              <w:bottom w:val="nil"/>
              <w:right w:val="nil"/>
            </w:tcBorders>
            <w:shd w:val="clear" w:color="auto" w:fill="auto"/>
            <w:noWrap/>
            <w:vAlign w:val="bottom"/>
            <w:hideMark/>
          </w:tcPr>
          <w:p w:rsidR="00C96140" w:rsidRPr="006552E9" w:rsidRDefault="00C96140" w:rsidP="00DD485B">
            <w:pPr>
              <w:spacing w:before="0"/>
              <w:jc w:val="right"/>
              <w:rPr>
                <w:rFonts w:cs="Arial"/>
                <w:sz w:val="20"/>
                <w:szCs w:val="20"/>
              </w:rPr>
            </w:pPr>
            <w:r w:rsidRPr="006552E9">
              <w:rPr>
                <w:rFonts w:cs="Arial"/>
                <w:sz w:val="20"/>
                <w:szCs w:val="20"/>
              </w:rPr>
              <w:t xml:space="preserve"> 7,613 </w:t>
            </w:r>
          </w:p>
        </w:tc>
        <w:tc>
          <w:tcPr>
            <w:tcW w:w="1220" w:type="dxa"/>
            <w:tcBorders>
              <w:top w:val="nil"/>
              <w:left w:val="nil"/>
              <w:bottom w:val="nil"/>
              <w:right w:val="nil"/>
            </w:tcBorders>
            <w:shd w:val="clear" w:color="auto" w:fill="auto"/>
            <w:noWrap/>
            <w:vAlign w:val="bottom"/>
            <w:hideMark/>
          </w:tcPr>
          <w:p w:rsidR="00C96140" w:rsidRPr="006552E9" w:rsidRDefault="00C96140" w:rsidP="00DD485B">
            <w:pPr>
              <w:spacing w:before="0"/>
              <w:jc w:val="right"/>
              <w:rPr>
                <w:rFonts w:cs="Arial"/>
                <w:sz w:val="20"/>
                <w:szCs w:val="20"/>
              </w:rPr>
            </w:pPr>
            <w:r w:rsidRPr="006552E9">
              <w:rPr>
                <w:rFonts w:cs="Arial"/>
                <w:sz w:val="20"/>
                <w:szCs w:val="20"/>
              </w:rPr>
              <w:t xml:space="preserve"> 12,654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b/>
                <w:bCs/>
                <w:sz w:val="20"/>
                <w:szCs w:val="20"/>
              </w:rPr>
            </w:pPr>
            <w:r w:rsidRPr="006552E9">
              <w:rPr>
                <w:rFonts w:cs="Arial"/>
                <w:b/>
                <w:bCs/>
                <w:sz w:val="20"/>
                <w:szCs w:val="20"/>
              </w:rPr>
              <w:t>Total cash and cash equivalents</w:t>
            </w:r>
          </w:p>
        </w:tc>
        <w:tc>
          <w:tcPr>
            <w:tcW w:w="1180" w:type="dxa"/>
            <w:tcBorders>
              <w:top w:val="single" w:sz="4" w:space="0" w:color="auto"/>
              <w:left w:val="nil"/>
              <w:bottom w:val="single" w:sz="4" w:space="0" w:color="auto"/>
              <w:right w:val="nil"/>
            </w:tcBorders>
            <w:shd w:val="clear" w:color="auto" w:fill="auto"/>
            <w:noWrap/>
            <w:vAlign w:val="bottom"/>
            <w:hideMark/>
          </w:tcPr>
          <w:p w:rsidR="00C96140" w:rsidRPr="00186401" w:rsidRDefault="00C96140" w:rsidP="00DD485B">
            <w:pPr>
              <w:spacing w:before="0"/>
              <w:jc w:val="right"/>
              <w:rPr>
                <w:rFonts w:cs="Arial"/>
                <w:b/>
                <w:sz w:val="20"/>
                <w:szCs w:val="20"/>
              </w:rPr>
            </w:pPr>
            <w:r w:rsidRPr="00186401">
              <w:rPr>
                <w:rFonts w:cs="Arial"/>
                <w:b/>
                <w:sz w:val="20"/>
                <w:szCs w:val="20"/>
              </w:rPr>
              <w:t xml:space="preserve"> 7,645 </w:t>
            </w:r>
          </w:p>
        </w:tc>
        <w:tc>
          <w:tcPr>
            <w:tcW w:w="1220" w:type="dxa"/>
            <w:tcBorders>
              <w:top w:val="single" w:sz="4" w:space="0" w:color="auto"/>
              <w:left w:val="nil"/>
              <w:bottom w:val="single" w:sz="4" w:space="0" w:color="auto"/>
              <w:right w:val="nil"/>
            </w:tcBorders>
            <w:shd w:val="clear" w:color="auto" w:fill="auto"/>
            <w:noWrap/>
            <w:vAlign w:val="bottom"/>
            <w:hideMark/>
          </w:tcPr>
          <w:p w:rsidR="00C96140" w:rsidRPr="00186401" w:rsidRDefault="00C96140" w:rsidP="00DD485B">
            <w:pPr>
              <w:spacing w:before="0"/>
              <w:jc w:val="right"/>
              <w:rPr>
                <w:rFonts w:cs="Arial"/>
                <w:b/>
                <w:sz w:val="20"/>
                <w:szCs w:val="20"/>
              </w:rPr>
            </w:pPr>
            <w:r w:rsidRPr="00186401">
              <w:rPr>
                <w:rFonts w:cs="Arial"/>
                <w:b/>
                <w:sz w:val="20"/>
                <w:szCs w:val="20"/>
              </w:rPr>
              <w:t xml:space="preserve"> 12,697 </w:t>
            </w:r>
          </w:p>
        </w:tc>
      </w:tr>
    </w:tbl>
    <w:p w:rsidR="00C96140" w:rsidRPr="006552E9" w:rsidRDefault="00C96140" w:rsidP="00C96140">
      <w:r w:rsidRPr="006552E9">
        <w:t xml:space="preserve">The carrying value of cash at bank and </w:t>
      </w:r>
      <w:r w:rsidR="00186401">
        <w:t>short-term</w:t>
      </w:r>
      <w:r w:rsidRPr="006552E9">
        <w:t xml:space="preserve"> deposits with maturity dates of three months or less approximates their fair value.</w:t>
      </w:r>
    </w:p>
    <w:p w:rsidR="00C96140" w:rsidRPr="006552E9" w:rsidRDefault="00C96140" w:rsidP="00C96140">
      <w:r w:rsidRPr="006552E9">
        <w:t xml:space="preserve">The weighted average effective interest rate for </w:t>
      </w:r>
      <w:r w:rsidR="00186401">
        <w:t>short-term</w:t>
      </w:r>
      <w:r w:rsidRPr="006552E9">
        <w:t xml:space="preserve"> deposits is 3.86 percent (2012: 3.66 percent).</w:t>
      </w:r>
    </w:p>
    <w:p w:rsidR="00C96140" w:rsidRPr="006552E9" w:rsidRDefault="00C96140" w:rsidP="00E22C83">
      <w:pPr>
        <w:pStyle w:val="Style1"/>
      </w:pPr>
      <w:r w:rsidRPr="006552E9">
        <w:t>12.</w:t>
      </w:r>
      <w:r w:rsidRPr="006552E9">
        <w:tab/>
        <w:t>Investments</w:t>
      </w:r>
    </w:p>
    <w:p w:rsidR="00DD485B" w:rsidRPr="006552E9" w:rsidRDefault="00DD485B" w:rsidP="00DD485B">
      <w:pPr>
        <w:pStyle w:val="Tabletext"/>
      </w:pPr>
    </w:p>
    <w:tbl>
      <w:tblPr>
        <w:tblW w:w="9120" w:type="dxa"/>
        <w:tblInd w:w="93" w:type="dxa"/>
        <w:tblLook w:val="04A0" w:firstRow="1" w:lastRow="0" w:firstColumn="1" w:lastColumn="0" w:noHBand="0" w:noVBand="1"/>
      </w:tblPr>
      <w:tblGrid>
        <w:gridCol w:w="6720"/>
        <w:gridCol w:w="1180"/>
        <w:gridCol w:w="1220"/>
      </w:tblGrid>
      <w:tr w:rsidR="00C96140" w:rsidRPr="006552E9" w:rsidTr="00DD485B">
        <w:trPr>
          <w:trHeight w:val="255"/>
        </w:trPr>
        <w:tc>
          <w:tcPr>
            <w:tcW w:w="6720" w:type="dxa"/>
            <w:tcBorders>
              <w:top w:val="nil"/>
              <w:left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2013 </w:t>
            </w:r>
          </w:p>
        </w:tc>
        <w:tc>
          <w:tcPr>
            <w:tcW w:w="1220" w:type="dxa"/>
            <w:tcBorders>
              <w:top w:val="nil"/>
              <w:left w:val="nil"/>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2012 </w:t>
            </w:r>
          </w:p>
        </w:tc>
      </w:tr>
      <w:tr w:rsidR="00C96140" w:rsidRPr="006552E9" w:rsidTr="00DD485B">
        <w:trPr>
          <w:trHeight w:val="255"/>
        </w:trPr>
        <w:tc>
          <w:tcPr>
            <w:tcW w:w="6720" w:type="dxa"/>
            <w:tcBorders>
              <w:top w:val="nil"/>
              <w:left w:val="nil"/>
              <w:bottom w:val="single" w:sz="4" w:space="0" w:color="auto"/>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$000 </w:t>
            </w:r>
          </w:p>
        </w:tc>
        <w:tc>
          <w:tcPr>
            <w:tcW w:w="1220" w:type="dxa"/>
            <w:tcBorders>
              <w:top w:val="nil"/>
              <w:left w:val="nil"/>
              <w:bottom w:val="single" w:sz="4" w:space="0" w:color="auto"/>
              <w:right w:val="nil"/>
            </w:tcBorders>
            <w:shd w:val="clear" w:color="auto" w:fill="auto"/>
            <w:noWrap/>
            <w:vAlign w:val="bottom"/>
            <w:hideMark/>
          </w:tcPr>
          <w:p w:rsidR="00C96140" w:rsidRPr="006552E9" w:rsidRDefault="00C96140" w:rsidP="00DD485B">
            <w:pPr>
              <w:spacing w:before="0"/>
              <w:jc w:val="right"/>
              <w:rPr>
                <w:rFonts w:cs="Arial"/>
                <w:b/>
                <w:bCs/>
                <w:sz w:val="20"/>
                <w:szCs w:val="20"/>
              </w:rPr>
            </w:pPr>
            <w:r w:rsidRPr="006552E9">
              <w:rPr>
                <w:rFonts w:cs="Arial"/>
                <w:b/>
                <w:bCs/>
                <w:sz w:val="20"/>
                <w:szCs w:val="20"/>
              </w:rPr>
              <w:t xml:space="preserve"> $000 </w:t>
            </w:r>
          </w:p>
        </w:tc>
      </w:tr>
      <w:tr w:rsidR="00C96140" w:rsidRPr="006552E9" w:rsidTr="00DD485B">
        <w:trPr>
          <w:trHeight w:val="255"/>
        </w:trPr>
        <w:tc>
          <w:tcPr>
            <w:tcW w:w="6720" w:type="dxa"/>
            <w:tcBorders>
              <w:top w:val="single" w:sz="4" w:space="0" w:color="auto"/>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Term deposits</w:t>
            </w:r>
          </w:p>
        </w:tc>
        <w:tc>
          <w:tcPr>
            <w:tcW w:w="1180" w:type="dxa"/>
            <w:tcBorders>
              <w:top w:val="single" w:sz="4" w:space="0" w:color="auto"/>
              <w:left w:val="nil"/>
              <w:bottom w:val="nil"/>
              <w:right w:val="nil"/>
            </w:tcBorders>
            <w:shd w:val="clear" w:color="auto" w:fill="auto"/>
            <w:noWrap/>
            <w:vAlign w:val="bottom"/>
            <w:hideMark/>
          </w:tcPr>
          <w:p w:rsidR="00C96140" w:rsidRPr="006552E9" w:rsidRDefault="00C96140" w:rsidP="00DD485B">
            <w:pPr>
              <w:spacing w:before="0"/>
              <w:jc w:val="right"/>
              <w:rPr>
                <w:rFonts w:cs="Arial"/>
                <w:sz w:val="20"/>
                <w:szCs w:val="20"/>
              </w:rPr>
            </w:pPr>
            <w:r w:rsidRPr="006552E9">
              <w:rPr>
                <w:rFonts w:cs="Arial"/>
                <w:sz w:val="20"/>
                <w:szCs w:val="20"/>
              </w:rPr>
              <w:t xml:space="preserve"> 7,500 </w:t>
            </w:r>
          </w:p>
        </w:tc>
        <w:tc>
          <w:tcPr>
            <w:tcW w:w="1220" w:type="dxa"/>
            <w:tcBorders>
              <w:top w:val="single" w:sz="4" w:space="0" w:color="auto"/>
              <w:left w:val="nil"/>
              <w:bottom w:val="nil"/>
              <w:right w:val="nil"/>
            </w:tcBorders>
            <w:shd w:val="clear" w:color="auto" w:fill="auto"/>
            <w:noWrap/>
            <w:vAlign w:val="bottom"/>
            <w:hideMark/>
          </w:tcPr>
          <w:p w:rsidR="00C96140" w:rsidRPr="006552E9" w:rsidRDefault="00C02722" w:rsidP="00DD485B">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b/>
                <w:bCs/>
                <w:sz w:val="20"/>
                <w:szCs w:val="20"/>
              </w:rPr>
            </w:pPr>
            <w:r w:rsidRPr="006552E9">
              <w:rPr>
                <w:rFonts w:cs="Arial"/>
                <w:b/>
                <w:bCs/>
                <w:sz w:val="20"/>
                <w:szCs w:val="20"/>
              </w:rPr>
              <w:t>Total investments</w:t>
            </w:r>
          </w:p>
        </w:tc>
        <w:tc>
          <w:tcPr>
            <w:tcW w:w="1180" w:type="dxa"/>
            <w:tcBorders>
              <w:top w:val="single" w:sz="4" w:space="0" w:color="auto"/>
              <w:left w:val="nil"/>
              <w:bottom w:val="single" w:sz="4" w:space="0" w:color="auto"/>
              <w:right w:val="nil"/>
            </w:tcBorders>
            <w:shd w:val="clear" w:color="auto" w:fill="auto"/>
            <w:noWrap/>
            <w:vAlign w:val="bottom"/>
            <w:hideMark/>
          </w:tcPr>
          <w:p w:rsidR="00C96140" w:rsidRPr="00186401" w:rsidRDefault="00C96140" w:rsidP="00DD485B">
            <w:pPr>
              <w:spacing w:before="0"/>
              <w:jc w:val="right"/>
              <w:rPr>
                <w:rFonts w:cs="Arial"/>
                <w:b/>
                <w:sz w:val="20"/>
                <w:szCs w:val="20"/>
              </w:rPr>
            </w:pPr>
            <w:r w:rsidRPr="00186401">
              <w:rPr>
                <w:rFonts w:cs="Arial"/>
                <w:b/>
                <w:sz w:val="20"/>
                <w:szCs w:val="20"/>
              </w:rPr>
              <w:t xml:space="preserve"> 7,500 </w:t>
            </w:r>
          </w:p>
        </w:tc>
        <w:tc>
          <w:tcPr>
            <w:tcW w:w="1220" w:type="dxa"/>
            <w:tcBorders>
              <w:top w:val="single" w:sz="4" w:space="0" w:color="auto"/>
              <w:left w:val="nil"/>
              <w:bottom w:val="single" w:sz="4" w:space="0" w:color="auto"/>
              <w:right w:val="nil"/>
            </w:tcBorders>
            <w:shd w:val="clear" w:color="auto" w:fill="auto"/>
            <w:noWrap/>
            <w:vAlign w:val="bottom"/>
            <w:hideMark/>
          </w:tcPr>
          <w:p w:rsidR="00C96140" w:rsidRPr="00186401" w:rsidRDefault="00C02722" w:rsidP="00DD485B">
            <w:pPr>
              <w:spacing w:before="0"/>
              <w:jc w:val="right"/>
              <w:rPr>
                <w:rFonts w:cs="Arial"/>
                <w:b/>
                <w:sz w:val="20"/>
                <w:szCs w:val="20"/>
              </w:rPr>
            </w:pPr>
            <w:r w:rsidRPr="00186401">
              <w:rPr>
                <w:rFonts w:cs="Arial"/>
                <w:b/>
                <w:sz w:val="20"/>
                <w:szCs w:val="20"/>
              </w:rPr>
              <w:t xml:space="preserve"> </w:t>
            </w:r>
            <w:r w:rsidR="002E460F" w:rsidRPr="00186401">
              <w:rPr>
                <w:rFonts w:cs="Arial"/>
                <w:b/>
                <w:sz w:val="20"/>
                <w:szCs w:val="20"/>
              </w:rPr>
              <w:t>–</w:t>
            </w:r>
            <w:r w:rsidR="00C96140" w:rsidRPr="00186401">
              <w:rPr>
                <w:rFonts w:cs="Arial"/>
                <w:b/>
                <w:sz w:val="20"/>
                <w:szCs w:val="20"/>
              </w:rPr>
              <w:t xml:space="preserve"> </w:t>
            </w:r>
          </w:p>
        </w:tc>
      </w:tr>
    </w:tbl>
    <w:p w:rsidR="00C96140" w:rsidRPr="006552E9" w:rsidRDefault="00C96140" w:rsidP="00C96140">
      <w:r w:rsidRPr="006552E9">
        <w:t>Investments in term deposits have maturity dates between three and six months.</w:t>
      </w:r>
    </w:p>
    <w:p w:rsidR="00C96140" w:rsidRPr="006552E9" w:rsidRDefault="00C96140" w:rsidP="00C96140">
      <w:r w:rsidRPr="006552E9">
        <w:t>The carrying value of term deposits approximates their fair value.</w:t>
      </w:r>
    </w:p>
    <w:p w:rsidR="00C96140" w:rsidRPr="006552E9" w:rsidRDefault="00C96140" w:rsidP="00E22C83">
      <w:pPr>
        <w:pStyle w:val="Style1"/>
      </w:pPr>
      <w:r w:rsidRPr="006552E9">
        <w:t>13.</w:t>
      </w:r>
      <w:r w:rsidRPr="006552E9">
        <w:tab/>
        <w:t>Debtors and other receivables</w:t>
      </w:r>
    </w:p>
    <w:p w:rsidR="00DD485B" w:rsidRPr="006552E9" w:rsidRDefault="00DD485B" w:rsidP="00DD485B">
      <w:pPr>
        <w:pStyle w:val="Tabletext"/>
      </w:pPr>
    </w:p>
    <w:tbl>
      <w:tblPr>
        <w:tblW w:w="9120" w:type="dxa"/>
        <w:tblInd w:w="93" w:type="dxa"/>
        <w:tblLook w:val="04A0" w:firstRow="1" w:lastRow="0" w:firstColumn="1" w:lastColumn="0" w:noHBand="0" w:noVBand="1"/>
      </w:tblPr>
      <w:tblGrid>
        <w:gridCol w:w="6720"/>
        <w:gridCol w:w="1180"/>
        <w:gridCol w:w="1220"/>
      </w:tblGrid>
      <w:tr w:rsidR="00C96140" w:rsidRPr="006552E9" w:rsidTr="00DD485B">
        <w:trPr>
          <w:trHeight w:val="255"/>
        </w:trPr>
        <w:tc>
          <w:tcPr>
            <w:tcW w:w="6720" w:type="dxa"/>
            <w:tcBorders>
              <w:top w:val="nil"/>
              <w:left w:val="nil"/>
              <w:right w:val="nil"/>
            </w:tcBorders>
            <w:shd w:val="clear" w:color="auto" w:fill="auto"/>
            <w:noWrap/>
            <w:vAlign w:val="bottom"/>
            <w:hideMark/>
          </w:tcPr>
          <w:p w:rsidR="00C96140" w:rsidRPr="006552E9" w:rsidRDefault="00C96140" w:rsidP="00C96140">
            <w:pPr>
              <w:spacing w:before="0"/>
              <w:jc w:val="left"/>
              <w:rPr>
                <w:rFonts w:cs="Arial"/>
                <w:b/>
                <w:bCs/>
                <w:sz w:val="20"/>
                <w:szCs w:val="20"/>
              </w:rPr>
            </w:pPr>
          </w:p>
        </w:tc>
        <w:tc>
          <w:tcPr>
            <w:tcW w:w="118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2013 </w:t>
            </w:r>
          </w:p>
        </w:tc>
        <w:tc>
          <w:tcPr>
            <w:tcW w:w="122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2012 </w:t>
            </w:r>
          </w:p>
        </w:tc>
      </w:tr>
      <w:tr w:rsidR="00C96140" w:rsidRPr="006552E9" w:rsidTr="00DD485B">
        <w:trPr>
          <w:trHeight w:val="255"/>
        </w:trPr>
        <w:tc>
          <w:tcPr>
            <w:tcW w:w="6720" w:type="dxa"/>
            <w:tcBorders>
              <w:top w:val="nil"/>
              <w:left w:val="nil"/>
              <w:bottom w:val="single" w:sz="4" w:space="0" w:color="auto"/>
              <w:right w:val="nil"/>
            </w:tcBorders>
            <w:shd w:val="clear" w:color="auto" w:fill="auto"/>
            <w:noWrap/>
            <w:vAlign w:val="bottom"/>
            <w:hideMark/>
          </w:tcPr>
          <w:p w:rsidR="00C96140" w:rsidRPr="006552E9" w:rsidRDefault="00C96140" w:rsidP="00C96140">
            <w:pPr>
              <w:spacing w:before="0"/>
              <w:jc w:val="left"/>
              <w:rPr>
                <w:rFonts w:cs="Arial"/>
                <w:b/>
                <w:bCs/>
                <w:sz w:val="20"/>
                <w:szCs w:val="20"/>
              </w:rPr>
            </w:pPr>
          </w:p>
        </w:tc>
        <w:tc>
          <w:tcPr>
            <w:tcW w:w="1180"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1220"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r>
      <w:tr w:rsidR="00C96140" w:rsidRPr="006552E9" w:rsidTr="00DD485B">
        <w:trPr>
          <w:trHeight w:val="255"/>
        </w:trPr>
        <w:tc>
          <w:tcPr>
            <w:tcW w:w="6720" w:type="dxa"/>
            <w:tcBorders>
              <w:top w:val="single" w:sz="4" w:space="0" w:color="auto"/>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New Zealand Lottery Grants Board </w:t>
            </w:r>
          </w:p>
        </w:tc>
        <w:tc>
          <w:tcPr>
            <w:tcW w:w="118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6,903 </w:t>
            </w:r>
          </w:p>
        </w:tc>
        <w:tc>
          <w:tcPr>
            <w:tcW w:w="122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6,510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GST receivable </w:t>
            </w:r>
          </w:p>
        </w:tc>
        <w:tc>
          <w:tcPr>
            <w:tcW w:w="118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226 </w:t>
            </w:r>
          </w:p>
        </w:tc>
        <w:tc>
          <w:tcPr>
            <w:tcW w:w="122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330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Interest receivable </w:t>
            </w:r>
          </w:p>
        </w:tc>
        <w:tc>
          <w:tcPr>
            <w:tcW w:w="118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106 </w:t>
            </w:r>
          </w:p>
        </w:tc>
        <w:tc>
          <w:tcPr>
            <w:tcW w:w="122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98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Sundry receivables </w:t>
            </w:r>
          </w:p>
        </w:tc>
        <w:tc>
          <w:tcPr>
            <w:tcW w:w="118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62 </w:t>
            </w:r>
          </w:p>
        </w:tc>
        <w:tc>
          <w:tcPr>
            <w:tcW w:w="122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71 </w:t>
            </w:r>
          </w:p>
        </w:tc>
      </w:tr>
      <w:tr w:rsidR="00C96140" w:rsidRPr="006552E9" w:rsidTr="00DD485B">
        <w:trPr>
          <w:trHeight w:val="255"/>
        </w:trPr>
        <w:tc>
          <w:tcPr>
            <w:tcW w:w="6720"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b/>
                <w:bCs/>
                <w:sz w:val="20"/>
                <w:szCs w:val="20"/>
              </w:rPr>
            </w:pPr>
            <w:r w:rsidRPr="006552E9">
              <w:rPr>
                <w:rFonts w:cs="Arial"/>
                <w:b/>
                <w:bCs/>
                <w:sz w:val="20"/>
                <w:szCs w:val="20"/>
              </w:rPr>
              <w:t xml:space="preserve"> Total debtors and other receivables </w:t>
            </w:r>
          </w:p>
        </w:tc>
        <w:tc>
          <w:tcPr>
            <w:tcW w:w="1180"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7,297 </w:t>
            </w:r>
          </w:p>
        </w:tc>
        <w:tc>
          <w:tcPr>
            <w:tcW w:w="1220"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7,009 </w:t>
            </w:r>
          </w:p>
        </w:tc>
      </w:tr>
    </w:tbl>
    <w:p w:rsidR="00C96140" w:rsidRPr="006552E9" w:rsidRDefault="00C96140" w:rsidP="00C96140">
      <w:r w:rsidRPr="006552E9">
        <w:t>Debtors and other receivables are non-interest bearing and are normally settled on 30-day terms. The carrying value of debtors and receivables approximates to their fair value.</w:t>
      </w:r>
    </w:p>
    <w:p w:rsidR="00DD485B" w:rsidRPr="006552E9" w:rsidRDefault="00DD485B" w:rsidP="00DD485B">
      <w:pPr>
        <w:pStyle w:val="Tabletext"/>
      </w:pPr>
    </w:p>
    <w:tbl>
      <w:tblPr>
        <w:tblW w:w="9166" w:type="dxa"/>
        <w:tblInd w:w="93" w:type="dxa"/>
        <w:tblLook w:val="04A0" w:firstRow="1" w:lastRow="0" w:firstColumn="1" w:lastColumn="0" w:noHBand="0" w:noVBand="1"/>
      </w:tblPr>
      <w:tblGrid>
        <w:gridCol w:w="2425"/>
        <w:gridCol w:w="1146"/>
        <w:gridCol w:w="1295"/>
        <w:gridCol w:w="960"/>
        <w:gridCol w:w="934"/>
        <w:gridCol w:w="1344"/>
        <w:gridCol w:w="1062"/>
      </w:tblGrid>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3401" w:type="dxa"/>
            <w:gridSpan w:val="3"/>
            <w:tcBorders>
              <w:top w:val="nil"/>
              <w:left w:val="nil"/>
              <w:bottom w:val="single" w:sz="4" w:space="0" w:color="auto"/>
              <w:right w:val="nil"/>
            </w:tcBorders>
            <w:shd w:val="clear" w:color="auto" w:fill="auto"/>
            <w:vAlign w:val="bottom"/>
            <w:hideMark/>
          </w:tcPr>
          <w:p w:rsidR="00C96140" w:rsidRPr="006552E9" w:rsidRDefault="00C96140" w:rsidP="00C96140">
            <w:pPr>
              <w:spacing w:before="0"/>
              <w:jc w:val="center"/>
              <w:rPr>
                <w:rFonts w:cs="Arial"/>
                <w:b/>
                <w:bCs/>
                <w:sz w:val="20"/>
                <w:szCs w:val="20"/>
              </w:rPr>
            </w:pPr>
            <w:r w:rsidRPr="006552E9">
              <w:rPr>
                <w:rFonts w:cs="Arial"/>
                <w:b/>
                <w:bCs/>
                <w:sz w:val="20"/>
                <w:szCs w:val="20"/>
              </w:rPr>
              <w:t xml:space="preserve"> 2013 </w:t>
            </w:r>
          </w:p>
        </w:tc>
        <w:tc>
          <w:tcPr>
            <w:tcW w:w="3340" w:type="dxa"/>
            <w:gridSpan w:val="3"/>
            <w:tcBorders>
              <w:top w:val="nil"/>
              <w:left w:val="single" w:sz="4" w:space="0" w:color="auto"/>
              <w:bottom w:val="single" w:sz="4" w:space="0" w:color="auto"/>
              <w:right w:val="nil"/>
            </w:tcBorders>
            <w:shd w:val="clear" w:color="auto" w:fill="auto"/>
            <w:vAlign w:val="bottom"/>
            <w:hideMark/>
          </w:tcPr>
          <w:p w:rsidR="00C96140" w:rsidRPr="006552E9" w:rsidRDefault="00C96140" w:rsidP="00C96140">
            <w:pPr>
              <w:spacing w:before="0"/>
              <w:jc w:val="center"/>
              <w:rPr>
                <w:rFonts w:cs="Arial"/>
                <w:b/>
                <w:bCs/>
                <w:sz w:val="20"/>
                <w:szCs w:val="20"/>
              </w:rPr>
            </w:pPr>
            <w:r w:rsidRPr="006552E9">
              <w:rPr>
                <w:rFonts w:cs="Arial"/>
                <w:b/>
                <w:bCs/>
                <w:sz w:val="20"/>
                <w:szCs w:val="20"/>
              </w:rPr>
              <w:t xml:space="preserve"> 2012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Gross </w:t>
            </w:r>
          </w:p>
        </w:tc>
        <w:tc>
          <w:tcPr>
            <w:tcW w:w="1295"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Impairment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Net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Gross </w:t>
            </w:r>
          </w:p>
        </w:tc>
        <w:tc>
          <w:tcPr>
            <w:tcW w:w="1344"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Impairment </w:t>
            </w:r>
          </w:p>
        </w:tc>
        <w:tc>
          <w:tcPr>
            <w:tcW w:w="1062"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Net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46"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1295"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960"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934" w:type="dxa"/>
            <w:tcBorders>
              <w:top w:val="nil"/>
              <w:left w:val="single" w:sz="4" w:space="0" w:color="auto"/>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1344"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c>
          <w:tcPr>
            <w:tcW w:w="1062" w:type="dxa"/>
            <w:tcBorders>
              <w:top w:val="nil"/>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$000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p>
        </w:tc>
        <w:tc>
          <w:tcPr>
            <w:tcW w:w="1295"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p>
        </w:tc>
        <w:tc>
          <w:tcPr>
            <w:tcW w:w="934" w:type="dxa"/>
            <w:tcBorders>
              <w:top w:val="nil"/>
              <w:left w:val="single" w:sz="4" w:space="0" w:color="auto"/>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w:t>
            </w:r>
          </w:p>
        </w:tc>
        <w:tc>
          <w:tcPr>
            <w:tcW w:w="1344"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p>
        </w:tc>
        <w:tc>
          <w:tcPr>
            <w:tcW w:w="1062"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Not past due </w:t>
            </w: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7,269 </w:t>
            </w:r>
          </w:p>
        </w:tc>
        <w:tc>
          <w:tcPr>
            <w:tcW w:w="1295"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7,269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6,925 </w:t>
            </w:r>
          </w:p>
        </w:tc>
        <w:tc>
          <w:tcPr>
            <w:tcW w:w="1344"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062"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6,925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Past due 1</w:t>
            </w:r>
            <w:r w:rsidR="00C02722">
              <w:rPr>
                <w:rFonts w:cs="Arial"/>
                <w:sz w:val="20"/>
                <w:szCs w:val="20"/>
              </w:rPr>
              <w:t xml:space="preserve"> </w:t>
            </w:r>
            <w:r w:rsidR="002E460F">
              <w:rPr>
                <w:rFonts w:cs="Arial"/>
                <w:sz w:val="20"/>
                <w:szCs w:val="20"/>
              </w:rPr>
              <w:t>–</w:t>
            </w:r>
            <w:r w:rsidRPr="006552E9">
              <w:rPr>
                <w:rFonts w:cs="Arial"/>
                <w:sz w:val="20"/>
                <w:szCs w:val="20"/>
              </w:rPr>
              <w:t xml:space="preserve"> 30 days </w:t>
            </w: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7 </w:t>
            </w:r>
          </w:p>
        </w:tc>
        <w:tc>
          <w:tcPr>
            <w:tcW w:w="1295"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81 </w:t>
            </w:r>
          </w:p>
        </w:tc>
        <w:tc>
          <w:tcPr>
            <w:tcW w:w="1344"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062"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81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Past due 31</w:t>
            </w:r>
            <w:r w:rsidR="00C02722">
              <w:rPr>
                <w:rFonts w:cs="Arial"/>
                <w:sz w:val="20"/>
                <w:szCs w:val="20"/>
              </w:rPr>
              <w:t xml:space="preserve"> </w:t>
            </w:r>
            <w:r w:rsidR="002E460F">
              <w:rPr>
                <w:rFonts w:cs="Arial"/>
                <w:sz w:val="20"/>
                <w:szCs w:val="20"/>
              </w:rPr>
              <w:t>–</w:t>
            </w:r>
            <w:r w:rsidRPr="006552E9">
              <w:rPr>
                <w:rFonts w:cs="Arial"/>
                <w:sz w:val="20"/>
                <w:szCs w:val="20"/>
              </w:rPr>
              <w:t xml:space="preserve"> 60 days </w:t>
            </w: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1 </w:t>
            </w:r>
          </w:p>
        </w:tc>
        <w:tc>
          <w:tcPr>
            <w:tcW w:w="1295"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1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344"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062"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C96140" w:rsidRPr="006552E9">
              <w:rPr>
                <w:rFonts w:cs="Arial"/>
                <w:b/>
                <w:bCs/>
                <w:sz w:val="20"/>
                <w:szCs w:val="20"/>
              </w:rPr>
              <w:t xml:space="preserve">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Past due 61</w:t>
            </w:r>
            <w:r w:rsidR="00C02722">
              <w:rPr>
                <w:rFonts w:cs="Arial"/>
                <w:sz w:val="20"/>
                <w:szCs w:val="20"/>
              </w:rPr>
              <w:t xml:space="preserve"> </w:t>
            </w:r>
            <w:r w:rsidR="002E460F">
              <w:rPr>
                <w:rFonts w:cs="Arial"/>
                <w:sz w:val="20"/>
                <w:szCs w:val="20"/>
              </w:rPr>
              <w:t>–</w:t>
            </w:r>
            <w:r w:rsidRPr="006552E9">
              <w:rPr>
                <w:rFonts w:cs="Arial"/>
                <w:sz w:val="20"/>
                <w:szCs w:val="20"/>
              </w:rPr>
              <w:t xml:space="preserve"> 90 days </w:t>
            </w: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3 </w:t>
            </w:r>
          </w:p>
        </w:tc>
        <w:tc>
          <w:tcPr>
            <w:tcW w:w="1295"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3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344"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062"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C96140" w:rsidRPr="006552E9">
              <w:rPr>
                <w:rFonts w:cs="Arial"/>
                <w:b/>
                <w:bCs/>
                <w:sz w:val="20"/>
                <w:szCs w:val="20"/>
              </w:rPr>
              <w:t xml:space="preserve">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r w:rsidRPr="006552E9">
              <w:rPr>
                <w:rFonts w:cs="Arial"/>
                <w:sz w:val="20"/>
                <w:szCs w:val="20"/>
              </w:rPr>
              <w:t xml:space="preserve"> Past due over 90 days </w:t>
            </w:r>
          </w:p>
        </w:tc>
        <w:tc>
          <w:tcPr>
            <w:tcW w:w="1146"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17 </w:t>
            </w:r>
          </w:p>
        </w:tc>
        <w:tc>
          <w:tcPr>
            <w:tcW w:w="1295"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960"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17 </w:t>
            </w:r>
          </w:p>
        </w:tc>
        <w:tc>
          <w:tcPr>
            <w:tcW w:w="934" w:type="dxa"/>
            <w:tcBorders>
              <w:top w:val="nil"/>
              <w:left w:val="single" w:sz="4" w:space="0" w:color="auto"/>
              <w:bottom w:val="nil"/>
              <w:right w:val="nil"/>
            </w:tcBorders>
            <w:shd w:val="clear" w:color="auto" w:fill="auto"/>
            <w:noWrap/>
            <w:vAlign w:val="bottom"/>
            <w:hideMark/>
          </w:tcPr>
          <w:p w:rsidR="00C96140" w:rsidRPr="006552E9" w:rsidRDefault="00C96140" w:rsidP="00CC6CE7">
            <w:pPr>
              <w:spacing w:before="0"/>
              <w:jc w:val="right"/>
              <w:rPr>
                <w:rFonts w:cs="Arial"/>
                <w:sz w:val="20"/>
                <w:szCs w:val="20"/>
              </w:rPr>
            </w:pPr>
            <w:r w:rsidRPr="006552E9">
              <w:rPr>
                <w:rFonts w:cs="Arial"/>
                <w:sz w:val="20"/>
                <w:szCs w:val="20"/>
              </w:rPr>
              <w:t xml:space="preserve"> 3 </w:t>
            </w:r>
          </w:p>
        </w:tc>
        <w:tc>
          <w:tcPr>
            <w:tcW w:w="1344" w:type="dxa"/>
            <w:tcBorders>
              <w:top w:val="nil"/>
              <w:left w:val="nil"/>
              <w:bottom w:val="nil"/>
              <w:right w:val="nil"/>
            </w:tcBorders>
            <w:shd w:val="clear" w:color="auto" w:fill="auto"/>
            <w:noWrap/>
            <w:vAlign w:val="bottom"/>
            <w:hideMark/>
          </w:tcPr>
          <w:p w:rsidR="00C96140" w:rsidRPr="006552E9" w:rsidRDefault="00C02722" w:rsidP="00CC6CE7">
            <w:pPr>
              <w:spacing w:before="0"/>
              <w:jc w:val="right"/>
              <w:rPr>
                <w:rFonts w:cs="Arial"/>
                <w:sz w:val="20"/>
                <w:szCs w:val="20"/>
              </w:rPr>
            </w:pPr>
            <w:r>
              <w:rPr>
                <w:rFonts w:cs="Arial"/>
                <w:sz w:val="20"/>
                <w:szCs w:val="20"/>
              </w:rPr>
              <w:t xml:space="preserve"> </w:t>
            </w:r>
            <w:r w:rsidR="002E460F">
              <w:rPr>
                <w:rFonts w:cs="Arial"/>
                <w:sz w:val="20"/>
                <w:szCs w:val="20"/>
              </w:rPr>
              <w:t>–</w:t>
            </w:r>
            <w:r w:rsidR="00C96140" w:rsidRPr="006552E9">
              <w:rPr>
                <w:rFonts w:cs="Arial"/>
                <w:sz w:val="20"/>
                <w:szCs w:val="20"/>
              </w:rPr>
              <w:t xml:space="preserve"> </w:t>
            </w:r>
          </w:p>
        </w:tc>
        <w:tc>
          <w:tcPr>
            <w:tcW w:w="1062" w:type="dxa"/>
            <w:tcBorders>
              <w:top w:val="nil"/>
              <w:left w:val="nil"/>
              <w:bottom w:val="nil"/>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3 </w:t>
            </w:r>
          </w:p>
        </w:tc>
      </w:tr>
      <w:tr w:rsidR="00C96140" w:rsidRPr="006552E9" w:rsidTr="00DD485B">
        <w:trPr>
          <w:trHeight w:val="255"/>
        </w:trPr>
        <w:tc>
          <w:tcPr>
            <w:tcW w:w="2425" w:type="dxa"/>
            <w:tcBorders>
              <w:top w:val="nil"/>
              <w:left w:val="nil"/>
              <w:bottom w:val="nil"/>
              <w:right w:val="nil"/>
            </w:tcBorders>
            <w:shd w:val="clear" w:color="auto" w:fill="auto"/>
            <w:noWrap/>
            <w:vAlign w:val="bottom"/>
            <w:hideMark/>
          </w:tcPr>
          <w:p w:rsidR="00C96140" w:rsidRPr="006552E9" w:rsidRDefault="00C96140" w:rsidP="00C96140">
            <w:pPr>
              <w:spacing w:before="0"/>
              <w:jc w:val="left"/>
              <w:rPr>
                <w:rFonts w:cs="Arial"/>
                <w:sz w:val="20"/>
                <w:szCs w:val="20"/>
              </w:rPr>
            </w:pPr>
          </w:p>
        </w:tc>
        <w:tc>
          <w:tcPr>
            <w:tcW w:w="1146"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7,297 </w:t>
            </w:r>
          </w:p>
        </w:tc>
        <w:tc>
          <w:tcPr>
            <w:tcW w:w="1295" w:type="dxa"/>
            <w:tcBorders>
              <w:top w:val="single" w:sz="4" w:space="0" w:color="auto"/>
              <w:left w:val="nil"/>
              <w:bottom w:val="single" w:sz="4" w:space="0" w:color="auto"/>
              <w:right w:val="nil"/>
            </w:tcBorders>
            <w:shd w:val="clear" w:color="auto" w:fill="auto"/>
            <w:noWrap/>
            <w:vAlign w:val="bottom"/>
            <w:hideMark/>
          </w:tcPr>
          <w:p w:rsidR="00C96140" w:rsidRPr="006552E9" w:rsidRDefault="00C02722" w:rsidP="00CC6CE7">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C96140" w:rsidRPr="006552E9">
              <w:rPr>
                <w:rFonts w:cs="Arial"/>
                <w:b/>
                <w:bCs/>
                <w:sz w:val="20"/>
                <w:szCs w:val="20"/>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7,297 </w:t>
            </w:r>
          </w:p>
        </w:tc>
        <w:tc>
          <w:tcPr>
            <w:tcW w:w="934" w:type="dxa"/>
            <w:tcBorders>
              <w:top w:val="single" w:sz="4" w:space="0" w:color="auto"/>
              <w:left w:val="single" w:sz="4" w:space="0" w:color="auto"/>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7,009 </w:t>
            </w:r>
          </w:p>
        </w:tc>
        <w:tc>
          <w:tcPr>
            <w:tcW w:w="1344" w:type="dxa"/>
            <w:tcBorders>
              <w:top w:val="single" w:sz="4" w:space="0" w:color="auto"/>
              <w:left w:val="nil"/>
              <w:bottom w:val="single" w:sz="4" w:space="0" w:color="auto"/>
              <w:right w:val="nil"/>
            </w:tcBorders>
            <w:shd w:val="clear" w:color="auto" w:fill="auto"/>
            <w:noWrap/>
            <w:vAlign w:val="bottom"/>
            <w:hideMark/>
          </w:tcPr>
          <w:p w:rsidR="00C96140" w:rsidRPr="006552E9" w:rsidRDefault="00C02722" w:rsidP="00CC6CE7">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C96140" w:rsidRPr="006552E9">
              <w:rPr>
                <w:rFonts w:cs="Arial"/>
                <w:b/>
                <w:bCs/>
                <w:sz w:val="20"/>
                <w:szCs w:val="20"/>
              </w:rPr>
              <w:t xml:space="preserve"> </w:t>
            </w:r>
          </w:p>
        </w:tc>
        <w:tc>
          <w:tcPr>
            <w:tcW w:w="1062" w:type="dxa"/>
            <w:tcBorders>
              <w:top w:val="single" w:sz="4" w:space="0" w:color="auto"/>
              <w:left w:val="nil"/>
              <w:bottom w:val="single" w:sz="4" w:space="0" w:color="auto"/>
              <w:right w:val="nil"/>
            </w:tcBorders>
            <w:shd w:val="clear" w:color="auto" w:fill="auto"/>
            <w:noWrap/>
            <w:vAlign w:val="bottom"/>
            <w:hideMark/>
          </w:tcPr>
          <w:p w:rsidR="00C96140" w:rsidRPr="006552E9" w:rsidRDefault="00C96140" w:rsidP="00CC6CE7">
            <w:pPr>
              <w:spacing w:before="0"/>
              <w:jc w:val="right"/>
              <w:rPr>
                <w:rFonts w:cs="Arial"/>
                <w:b/>
                <w:bCs/>
                <w:sz w:val="20"/>
                <w:szCs w:val="20"/>
              </w:rPr>
            </w:pPr>
            <w:r w:rsidRPr="006552E9">
              <w:rPr>
                <w:rFonts w:cs="Arial"/>
                <w:b/>
                <w:bCs/>
                <w:sz w:val="20"/>
                <w:szCs w:val="20"/>
              </w:rPr>
              <w:t xml:space="preserve"> 7,009 </w:t>
            </w:r>
          </w:p>
        </w:tc>
      </w:tr>
    </w:tbl>
    <w:p w:rsidR="00CC6CE7" w:rsidRPr="006552E9" w:rsidRDefault="00CC6CE7" w:rsidP="00E22C83">
      <w:pPr>
        <w:pStyle w:val="Style1"/>
      </w:pPr>
      <w:bookmarkStart w:id="99" w:name="_Toc339551267"/>
      <w:r w:rsidRPr="006552E9">
        <w:t>14.</w:t>
      </w:r>
      <w:r w:rsidRPr="006552E9">
        <w:tab/>
        <w:t>Property, plant and equipment</w:t>
      </w:r>
      <w:bookmarkEnd w:id="99"/>
    </w:p>
    <w:p w:rsidR="00654EA1" w:rsidRPr="006552E9" w:rsidRDefault="00654EA1" w:rsidP="00654EA1">
      <w:pPr>
        <w:pStyle w:val="Tabletext"/>
        <w:keepNext/>
      </w:pPr>
    </w:p>
    <w:tbl>
      <w:tblPr>
        <w:tblW w:w="9490" w:type="dxa"/>
        <w:tblInd w:w="93" w:type="dxa"/>
        <w:tblLayout w:type="fixed"/>
        <w:tblCellMar>
          <w:left w:w="85" w:type="dxa"/>
          <w:right w:w="85" w:type="dxa"/>
        </w:tblCellMar>
        <w:tblLook w:val="04A0" w:firstRow="1" w:lastRow="0" w:firstColumn="1" w:lastColumn="0" w:noHBand="0" w:noVBand="1"/>
      </w:tblPr>
      <w:tblGrid>
        <w:gridCol w:w="2402"/>
        <w:gridCol w:w="680"/>
        <w:gridCol w:w="907"/>
        <w:gridCol w:w="1447"/>
        <w:gridCol w:w="1127"/>
        <w:gridCol w:w="1127"/>
        <w:gridCol w:w="977"/>
        <w:gridCol w:w="823"/>
      </w:tblGrid>
      <w:tr w:rsidR="00CC6CE7" w:rsidRPr="006552E9" w:rsidTr="0087298E">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20"/>
                <w:szCs w:val="20"/>
              </w:rPr>
            </w:pPr>
          </w:p>
        </w:tc>
        <w:tc>
          <w:tcPr>
            <w:tcW w:w="680"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Land</w:t>
            </w:r>
          </w:p>
        </w:tc>
        <w:tc>
          <w:tcPr>
            <w:tcW w:w="907"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Building</w:t>
            </w:r>
          </w:p>
        </w:tc>
        <w:tc>
          <w:tcPr>
            <w:tcW w:w="1447"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Building improvements</w:t>
            </w:r>
          </w:p>
        </w:tc>
        <w:tc>
          <w:tcPr>
            <w:tcW w:w="1127"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Furniture, equipment &amp; fittings</w:t>
            </w:r>
          </w:p>
        </w:tc>
        <w:tc>
          <w:tcPr>
            <w:tcW w:w="1127"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Computer equipment</w:t>
            </w:r>
          </w:p>
        </w:tc>
        <w:tc>
          <w:tcPr>
            <w:tcW w:w="977"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Work in progress</w:t>
            </w:r>
          </w:p>
        </w:tc>
        <w:tc>
          <w:tcPr>
            <w:tcW w:w="823" w:type="dxa"/>
            <w:tcBorders>
              <w:top w:val="nil"/>
              <w:left w:val="nil"/>
              <w:bottom w:val="nil"/>
              <w:right w:val="nil"/>
            </w:tcBorders>
            <w:shd w:val="clear" w:color="auto" w:fill="auto"/>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Total</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20"/>
                <w:szCs w:val="20"/>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6"/>
                <w:szCs w:val="16"/>
              </w:rPr>
            </w:pPr>
            <w:r w:rsidRPr="006552E9">
              <w:rPr>
                <w:rFonts w:cs="Arial"/>
                <w:b/>
                <w:bCs/>
                <w:sz w:val="16"/>
                <w:szCs w:val="16"/>
              </w:rPr>
              <w:t>$000</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6"/>
                <w:szCs w:val="16"/>
              </w:rPr>
            </w:pPr>
            <w:r w:rsidRPr="006552E9">
              <w:rPr>
                <w:rFonts w:cs="Arial"/>
                <w:b/>
                <w:bCs/>
                <w:sz w:val="16"/>
                <w:szCs w:val="16"/>
              </w:rPr>
              <w:t>$000</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6"/>
                <w:szCs w:val="16"/>
              </w:rPr>
            </w:pPr>
            <w:r w:rsidRPr="006552E9">
              <w:rPr>
                <w:rFonts w:cs="Arial"/>
                <w:b/>
                <w:bCs/>
                <w:sz w:val="16"/>
                <w:szCs w:val="16"/>
              </w:rPr>
              <w:t>$000</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6"/>
                <w:szCs w:val="16"/>
              </w:rPr>
            </w:pPr>
            <w:r w:rsidRPr="006552E9">
              <w:rPr>
                <w:rFonts w:cs="Arial"/>
                <w:b/>
                <w:bCs/>
                <w:sz w:val="16"/>
                <w:szCs w:val="16"/>
              </w:rPr>
              <w:t>$000</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6"/>
                <w:szCs w:val="16"/>
              </w:rPr>
            </w:pPr>
            <w:r w:rsidRPr="006552E9">
              <w:rPr>
                <w:rFonts w:cs="Arial"/>
                <w:b/>
                <w:bCs/>
                <w:sz w:val="16"/>
                <w:szCs w:val="16"/>
              </w:rPr>
              <w:t>$000</w:t>
            </w: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$000</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$000</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Cost or valuation</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r w:rsidRPr="006552E9">
              <w:rPr>
                <w:rFonts w:cs="Arial"/>
                <w:sz w:val="18"/>
                <w:szCs w:val="18"/>
              </w:rPr>
              <w:t>Balance at 1 July 2012</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1,164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374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1,117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565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514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3,734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Additions</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30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13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82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125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Reclassification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Revaluation increase/(decrease)</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332 </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332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Disposals</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(212)</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(212)</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Balance at 30 June 2013</w:t>
            </w:r>
          </w:p>
        </w:tc>
        <w:tc>
          <w:tcPr>
            <w:tcW w:w="680"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1,164 </w:t>
            </w:r>
          </w:p>
        </w:tc>
        <w:tc>
          <w:tcPr>
            <w:tcW w:w="90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706 </w:t>
            </w:r>
          </w:p>
        </w:tc>
        <w:tc>
          <w:tcPr>
            <w:tcW w:w="144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1,147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578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384 </w:t>
            </w:r>
          </w:p>
        </w:tc>
        <w:tc>
          <w:tcPr>
            <w:tcW w:w="97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3,979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Accumulated depreciation</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r w:rsidRPr="006552E9">
              <w:rPr>
                <w:rFonts w:cs="Arial"/>
                <w:sz w:val="18"/>
                <w:szCs w:val="18"/>
              </w:rPr>
              <w:t>Balance at 1 July 2012</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760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487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378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1,625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Depreciation expense</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57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14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86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168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Eliminated on disposal/reclassification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(204)</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(204)</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Eliminated on revaluation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Balance at 30 June 2013</w:t>
            </w:r>
          </w:p>
        </w:tc>
        <w:tc>
          <w:tcPr>
            <w:tcW w:w="680"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90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144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817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501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260 </w:t>
            </w:r>
          </w:p>
        </w:tc>
        <w:tc>
          <w:tcPr>
            <w:tcW w:w="97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1,578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70"/>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Carrying amount at 30 June 2013</w:t>
            </w:r>
          </w:p>
        </w:tc>
        <w:tc>
          <w:tcPr>
            <w:tcW w:w="680"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1,164 </w:t>
            </w:r>
          </w:p>
        </w:tc>
        <w:tc>
          <w:tcPr>
            <w:tcW w:w="90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706 </w:t>
            </w:r>
          </w:p>
        </w:tc>
        <w:tc>
          <w:tcPr>
            <w:tcW w:w="144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330 </w:t>
            </w:r>
          </w:p>
        </w:tc>
        <w:tc>
          <w:tcPr>
            <w:tcW w:w="112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77 </w:t>
            </w:r>
          </w:p>
        </w:tc>
        <w:tc>
          <w:tcPr>
            <w:tcW w:w="112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124 </w:t>
            </w:r>
          </w:p>
        </w:tc>
        <w:tc>
          <w:tcPr>
            <w:tcW w:w="977" w:type="dxa"/>
            <w:tcBorders>
              <w:top w:val="single" w:sz="4" w:space="0" w:color="auto"/>
              <w:left w:val="nil"/>
              <w:bottom w:val="double" w:sz="6"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2,401 </w:t>
            </w:r>
          </w:p>
        </w:tc>
      </w:tr>
      <w:tr w:rsidR="00CC6CE7" w:rsidRPr="006552E9" w:rsidTr="00654EA1">
        <w:trPr>
          <w:trHeight w:val="270"/>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Cost or valuation</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r w:rsidRPr="006552E9">
              <w:rPr>
                <w:rFonts w:cs="Arial"/>
                <w:sz w:val="18"/>
                <w:szCs w:val="18"/>
              </w:rPr>
              <w:t>Balance at 1 July 2011</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1,164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1,496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1,061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596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845 </w:t>
            </w: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61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5,223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Additions</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94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20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39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153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Reclassification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61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(61)</w:t>
            </w:r>
          </w:p>
        </w:tc>
        <w:tc>
          <w:tcPr>
            <w:tcW w:w="823"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Revaluation increase/(decrease)</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(1,122)</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(1,122)</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Disposals</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(99)</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(51)</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(370)</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(520)</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Balance at 30 June 2012</w:t>
            </w:r>
          </w:p>
        </w:tc>
        <w:tc>
          <w:tcPr>
            <w:tcW w:w="680"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1,164 </w:t>
            </w:r>
          </w:p>
        </w:tc>
        <w:tc>
          <w:tcPr>
            <w:tcW w:w="90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374 </w:t>
            </w:r>
          </w:p>
        </w:tc>
        <w:tc>
          <w:tcPr>
            <w:tcW w:w="144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1,117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565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514 </w:t>
            </w:r>
          </w:p>
        </w:tc>
        <w:tc>
          <w:tcPr>
            <w:tcW w:w="97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3,734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Accumulated depreciation</w:t>
            </w: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r w:rsidRPr="006552E9">
              <w:rPr>
                <w:rFonts w:cs="Arial"/>
                <w:sz w:val="18"/>
                <w:szCs w:val="18"/>
              </w:rPr>
              <w:t>Balance at 1 July 2011</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763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524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661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1,948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Depreciation expense</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43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56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13 </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85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197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Eliminated on disposal/reclassification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(59)</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(50)</w:t>
            </w: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(368)</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(477)</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654EA1">
            <w:pPr>
              <w:spacing w:before="0"/>
              <w:ind w:left="170"/>
              <w:jc w:val="left"/>
              <w:rPr>
                <w:rFonts w:cs="Arial"/>
                <w:sz w:val="18"/>
                <w:szCs w:val="18"/>
              </w:rPr>
            </w:pPr>
            <w:r w:rsidRPr="006552E9">
              <w:rPr>
                <w:rFonts w:cs="Arial"/>
                <w:sz w:val="18"/>
                <w:szCs w:val="18"/>
              </w:rPr>
              <w:t>Eliminated on revaluation</w:t>
            </w:r>
          </w:p>
        </w:tc>
        <w:tc>
          <w:tcPr>
            <w:tcW w:w="680"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(43)</w:t>
            </w:r>
          </w:p>
        </w:tc>
        <w:tc>
          <w:tcPr>
            <w:tcW w:w="144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112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977" w:type="dxa"/>
            <w:tcBorders>
              <w:top w:val="nil"/>
              <w:left w:val="nil"/>
              <w:bottom w:val="nil"/>
              <w:right w:val="nil"/>
            </w:tcBorders>
            <w:shd w:val="clear" w:color="auto" w:fill="auto"/>
            <w:noWrap/>
            <w:vAlign w:val="bottom"/>
            <w:hideMark/>
          </w:tcPr>
          <w:p w:rsidR="00CC6CE7" w:rsidRPr="006552E9" w:rsidRDefault="00C02722" w:rsidP="00654EA1">
            <w:pPr>
              <w:spacing w:before="0"/>
              <w:jc w:val="right"/>
              <w:rPr>
                <w:rFonts w:cs="Arial"/>
                <w:sz w:val="18"/>
                <w:szCs w:val="18"/>
              </w:rPr>
            </w:pPr>
            <w:r>
              <w:rPr>
                <w:rFonts w:cs="Arial"/>
                <w:sz w:val="18"/>
                <w:szCs w:val="18"/>
              </w:rPr>
              <w:t xml:space="preserve"> </w:t>
            </w:r>
            <w:r w:rsidR="002E460F">
              <w:rPr>
                <w:rFonts w:cs="Arial"/>
                <w:sz w:val="18"/>
                <w:szCs w:val="18"/>
              </w:rPr>
              <w:t>–</w:t>
            </w:r>
            <w:r w:rsidR="00CC6CE7" w:rsidRPr="006552E9">
              <w:rPr>
                <w:rFonts w:cs="Arial"/>
                <w:sz w:val="18"/>
                <w:szCs w:val="18"/>
              </w:rPr>
              <w:t xml:space="preserve"> </w:t>
            </w: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r w:rsidRPr="006552E9">
              <w:rPr>
                <w:rFonts w:cs="Arial"/>
                <w:sz w:val="18"/>
                <w:szCs w:val="18"/>
              </w:rPr>
              <w:t xml:space="preserve"> (43)</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Balance at 30 June 2012</w:t>
            </w:r>
          </w:p>
        </w:tc>
        <w:tc>
          <w:tcPr>
            <w:tcW w:w="680"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90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144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760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487 </w:t>
            </w:r>
          </w:p>
        </w:tc>
        <w:tc>
          <w:tcPr>
            <w:tcW w:w="1127"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378 </w:t>
            </w:r>
          </w:p>
        </w:tc>
        <w:tc>
          <w:tcPr>
            <w:tcW w:w="977" w:type="dxa"/>
            <w:tcBorders>
              <w:top w:val="single" w:sz="4" w:space="0" w:color="auto"/>
              <w:left w:val="nil"/>
              <w:bottom w:val="single" w:sz="4"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single" w:sz="4"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1,625 </w:t>
            </w:r>
          </w:p>
        </w:tc>
      </w:tr>
      <w:tr w:rsidR="00CC6CE7" w:rsidRPr="006552E9" w:rsidTr="00654EA1">
        <w:trPr>
          <w:trHeight w:val="255"/>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sz w:val="18"/>
                <w:szCs w:val="18"/>
              </w:rPr>
            </w:pPr>
          </w:p>
        </w:tc>
        <w:tc>
          <w:tcPr>
            <w:tcW w:w="680"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0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color w:val="FF0000"/>
                <w:sz w:val="18"/>
                <w:szCs w:val="18"/>
              </w:rPr>
            </w:pPr>
          </w:p>
        </w:tc>
        <w:tc>
          <w:tcPr>
            <w:tcW w:w="144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112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977"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c>
          <w:tcPr>
            <w:tcW w:w="823" w:type="dxa"/>
            <w:tcBorders>
              <w:top w:val="nil"/>
              <w:left w:val="nil"/>
              <w:bottom w:val="nil"/>
              <w:right w:val="nil"/>
            </w:tcBorders>
            <w:shd w:val="clear" w:color="auto" w:fill="auto"/>
            <w:noWrap/>
            <w:vAlign w:val="bottom"/>
            <w:hideMark/>
          </w:tcPr>
          <w:p w:rsidR="00CC6CE7" w:rsidRPr="006552E9" w:rsidRDefault="00CC6CE7" w:rsidP="00654EA1">
            <w:pPr>
              <w:spacing w:before="0"/>
              <w:jc w:val="right"/>
              <w:rPr>
                <w:rFonts w:cs="Arial"/>
                <w:sz w:val="18"/>
                <w:szCs w:val="18"/>
              </w:rPr>
            </w:pPr>
          </w:p>
        </w:tc>
      </w:tr>
      <w:tr w:rsidR="00CC6CE7" w:rsidRPr="006552E9" w:rsidTr="00654EA1">
        <w:trPr>
          <w:trHeight w:val="270"/>
        </w:trPr>
        <w:tc>
          <w:tcPr>
            <w:tcW w:w="2402" w:type="dxa"/>
            <w:tcBorders>
              <w:top w:val="nil"/>
              <w:left w:val="nil"/>
              <w:bottom w:val="nil"/>
              <w:right w:val="nil"/>
            </w:tcBorders>
            <w:shd w:val="clear" w:color="auto" w:fill="auto"/>
            <w:noWrap/>
            <w:vAlign w:val="bottom"/>
            <w:hideMark/>
          </w:tcPr>
          <w:p w:rsidR="00CC6CE7" w:rsidRPr="006552E9" w:rsidRDefault="00CC6CE7" w:rsidP="00CC6CE7">
            <w:pPr>
              <w:spacing w:before="0"/>
              <w:jc w:val="left"/>
              <w:rPr>
                <w:rFonts w:cs="Arial"/>
                <w:b/>
                <w:bCs/>
                <w:sz w:val="18"/>
                <w:szCs w:val="18"/>
              </w:rPr>
            </w:pPr>
            <w:r w:rsidRPr="006552E9">
              <w:rPr>
                <w:rFonts w:cs="Arial"/>
                <w:b/>
                <w:bCs/>
                <w:sz w:val="18"/>
                <w:szCs w:val="18"/>
              </w:rPr>
              <w:t>Carrying amount at 30 June 2012</w:t>
            </w:r>
          </w:p>
        </w:tc>
        <w:tc>
          <w:tcPr>
            <w:tcW w:w="680"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1,164 </w:t>
            </w:r>
          </w:p>
        </w:tc>
        <w:tc>
          <w:tcPr>
            <w:tcW w:w="90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374 </w:t>
            </w:r>
          </w:p>
        </w:tc>
        <w:tc>
          <w:tcPr>
            <w:tcW w:w="144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357 </w:t>
            </w:r>
          </w:p>
        </w:tc>
        <w:tc>
          <w:tcPr>
            <w:tcW w:w="112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78 </w:t>
            </w:r>
          </w:p>
        </w:tc>
        <w:tc>
          <w:tcPr>
            <w:tcW w:w="1127"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136 </w:t>
            </w:r>
          </w:p>
        </w:tc>
        <w:tc>
          <w:tcPr>
            <w:tcW w:w="977" w:type="dxa"/>
            <w:tcBorders>
              <w:top w:val="single" w:sz="4" w:space="0" w:color="auto"/>
              <w:left w:val="nil"/>
              <w:bottom w:val="double" w:sz="6" w:space="0" w:color="auto"/>
              <w:right w:val="nil"/>
            </w:tcBorders>
            <w:shd w:val="clear" w:color="auto" w:fill="auto"/>
            <w:noWrap/>
            <w:vAlign w:val="bottom"/>
            <w:hideMark/>
          </w:tcPr>
          <w:p w:rsidR="00CC6CE7" w:rsidRPr="006552E9" w:rsidRDefault="00C02722" w:rsidP="00654EA1">
            <w:pPr>
              <w:spacing w:before="0"/>
              <w:jc w:val="right"/>
              <w:rPr>
                <w:rFonts w:cs="Arial"/>
                <w:b/>
                <w:bCs/>
                <w:sz w:val="18"/>
                <w:szCs w:val="18"/>
              </w:rPr>
            </w:pPr>
            <w:r>
              <w:rPr>
                <w:rFonts w:cs="Arial"/>
                <w:b/>
                <w:bCs/>
                <w:sz w:val="18"/>
                <w:szCs w:val="18"/>
              </w:rPr>
              <w:t xml:space="preserve"> </w:t>
            </w:r>
            <w:r w:rsidR="002E460F">
              <w:rPr>
                <w:rFonts w:cs="Arial"/>
                <w:b/>
                <w:bCs/>
                <w:sz w:val="18"/>
                <w:szCs w:val="18"/>
              </w:rPr>
              <w:t>–</w:t>
            </w:r>
            <w:r w:rsidR="00CC6CE7" w:rsidRPr="006552E9">
              <w:rPr>
                <w:rFonts w:cs="Arial"/>
                <w:b/>
                <w:bCs/>
                <w:sz w:val="18"/>
                <w:szCs w:val="18"/>
              </w:rPr>
              <w:t xml:space="preserve"> </w:t>
            </w:r>
          </w:p>
        </w:tc>
        <w:tc>
          <w:tcPr>
            <w:tcW w:w="823" w:type="dxa"/>
            <w:tcBorders>
              <w:top w:val="single" w:sz="4" w:space="0" w:color="auto"/>
              <w:left w:val="nil"/>
              <w:bottom w:val="double" w:sz="6" w:space="0" w:color="auto"/>
              <w:right w:val="nil"/>
            </w:tcBorders>
            <w:shd w:val="clear" w:color="auto" w:fill="auto"/>
            <w:noWrap/>
            <w:vAlign w:val="bottom"/>
            <w:hideMark/>
          </w:tcPr>
          <w:p w:rsidR="00CC6CE7" w:rsidRPr="006552E9" w:rsidRDefault="00CC6CE7" w:rsidP="00654EA1">
            <w:pPr>
              <w:spacing w:before="0"/>
              <w:jc w:val="right"/>
              <w:rPr>
                <w:rFonts w:cs="Arial"/>
                <w:b/>
                <w:bCs/>
                <w:sz w:val="18"/>
                <w:szCs w:val="18"/>
              </w:rPr>
            </w:pPr>
            <w:r w:rsidRPr="006552E9">
              <w:rPr>
                <w:rFonts w:cs="Arial"/>
                <w:b/>
                <w:bCs/>
                <w:sz w:val="18"/>
                <w:szCs w:val="18"/>
              </w:rPr>
              <w:t xml:space="preserve"> 2,109 </w:t>
            </w:r>
          </w:p>
        </w:tc>
      </w:tr>
    </w:tbl>
    <w:p w:rsidR="001A5689" w:rsidRPr="006552E9" w:rsidRDefault="001A5689" w:rsidP="001A5689">
      <w:r w:rsidRPr="006552E9">
        <w:t xml:space="preserve">The land and building assets represent the ownership of three floors of the Old Public Trust Building excluding the portion classified as </w:t>
      </w:r>
      <w:r w:rsidR="00186401" w:rsidRPr="006552E9">
        <w:t xml:space="preserve">investment property </w:t>
      </w:r>
      <w:r w:rsidRPr="006552E9">
        <w:t>(note 16).</w:t>
      </w:r>
      <w:r w:rsidR="0090448D" w:rsidRPr="006552E9">
        <w:t xml:space="preserve"> </w:t>
      </w:r>
      <w:r w:rsidRPr="006552E9">
        <w:t>The revalued land and building is stated at fair value as determined by Wayne Nyberg, the registered valuer with Darroch Limited, as at 30 June 2013.</w:t>
      </w:r>
    </w:p>
    <w:p w:rsidR="001A5689" w:rsidRPr="006552E9" w:rsidRDefault="001A5689" w:rsidP="001A5689">
      <w:r w:rsidRPr="006552E9">
        <w:t xml:space="preserve">The fair value has been determined using the capitalisation of the potential net income and discounted </w:t>
      </w:r>
      <w:r w:rsidR="008F45DE">
        <w:t>cash flow</w:t>
      </w:r>
      <w:r w:rsidRPr="006552E9">
        <w:t xml:space="preserve"> analysis. </w:t>
      </w:r>
    </w:p>
    <w:p w:rsidR="00C96140" w:rsidRPr="006552E9" w:rsidRDefault="001A5689" w:rsidP="001A5689">
      <w:r w:rsidRPr="006552E9">
        <w:t>These methods are based upon assumptions including future rental income, anticipated maintenance costs and an appropriate discount rate.</w:t>
      </w:r>
    </w:p>
    <w:p w:rsidR="000626AE" w:rsidRPr="006552E9" w:rsidRDefault="000626AE" w:rsidP="000626AE">
      <w:pPr>
        <w:pStyle w:val="Tabletext"/>
      </w:pPr>
    </w:p>
    <w:tbl>
      <w:tblPr>
        <w:tblW w:w="9112" w:type="dxa"/>
        <w:tblInd w:w="93" w:type="dxa"/>
        <w:tblLook w:val="04A0" w:firstRow="1" w:lastRow="0" w:firstColumn="1" w:lastColumn="0" w:noHBand="0" w:noVBand="1"/>
      </w:tblPr>
      <w:tblGrid>
        <w:gridCol w:w="6678"/>
        <w:gridCol w:w="1134"/>
        <w:gridCol w:w="1300"/>
      </w:tblGrid>
      <w:tr w:rsidR="0090448D" w:rsidRPr="006552E9" w:rsidTr="00186401">
        <w:trPr>
          <w:trHeight w:val="255"/>
        </w:trPr>
        <w:tc>
          <w:tcPr>
            <w:tcW w:w="6678" w:type="dxa"/>
            <w:tcBorders>
              <w:top w:val="nil"/>
              <w:left w:val="nil"/>
              <w:right w:val="nil"/>
            </w:tcBorders>
            <w:shd w:val="clear" w:color="auto" w:fill="auto"/>
            <w:noWrap/>
            <w:vAlign w:val="bottom"/>
            <w:hideMark/>
          </w:tcPr>
          <w:p w:rsidR="0090448D" w:rsidRPr="006552E9" w:rsidRDefault="0090448D" w:rsidP="001A5689">
            <w:pPr>
              <w:spacing w:before="0"/>
              <w:jc w:val="left"/>
              <w:rPr>
                <w:rFonts w:cs="Arial"/>
                <w:sz w:val="20"/>
                <w:szCs w:val="20"/>
              </w:rPr>
            </w:pPr>
          </w:p>
        </w:tc>
        <w:tc>
          <w:tcPr>
            <w:tcW w:w="1134" w:type="dxa"/>
            <w:tcBorders>
              <w:top w:val="nil"/>
              <w:left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2013 </w:t>
            </w:r>
          </w:p>
        </w:tc>
        <w:tc>
          <w:tcPr>
            <w:tcW w:w="1300" w:type="dxa"/>
            <w:tcBorders>
              <w:top w:val="nil"/>
              <w:left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2012 </w:t>
            </w:r>
          </w:p>
        </w:tc>
      </w:tr>
      <w:tr w:rsidR="0090448D" w:rsidRPr="006552E9" w:rsidTr="00186401">
        <w:trPr>
          <w:trHeight w:val="255"/>
        </w:trPr>
        <w:tc>
          <w:tcPr>
            <w:tcW w:w="6678" w:type="dxa"/>
            <w:tcBorders>
              <w:top w:val="nil"/>
              <w:left w:val="nil"/>
              <w:bottom w:val="single" w:sz="4" w:space="0" w:color="auto"/>
              <w:right w:val="nil"/>
            </w:tcBorders>
            <w:shd w:val="clear" w:color="auto" w:fill="auto"/>
            <w:noWrap/>
            <w:vAlign w:val="bottom"/>
            <w:hideMark/>
          </w:tcPr>
          <w:p w:rsidR="0090448D" w:rsidRPr="006552E9" w:rsidRDefault="0090448D" w:rsidP="001A5689">
            <w:pPr>
              <w:spacing w:before="0"/>
              <w:jc w:val="left"/>
              <w:rPr>
                <w:rFonts w:cs="Arial"/>
                <w:sz w:val="20"/>
                <w:szCs w:val="20"/>
              </w:rPr>
            </w:pPr>
          </w:p>
        </w:tc>
        <w:tc>
          <w:tcPr>
            <w:tcW w:w="1134" w:type="dxa"/>
            <w:tcBorders>
              <w:top w:val="nil"/>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$000 </w:t>
            </w:r>
          </w:p>
        </w:tc>
        <w:tc>
          <w:tcPr>
            <w:tcW w:w="1300" w:type="dxa"/>
            <w:tcBorders>
              <w:top w:val="nil"/>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$000 </w:t>
            </w:r>
          </w:p>
        </w:tc>
      </w:tr>
      <w:tr w:rsidR="0090448D" w:rsidRPr="006552E9" w:rsidTr="00186401">
        <w:trPr>
          <w:trHeight w:val="255"/>
        </w:trPr>
        <w:tc>
          <w:tcPr>
            <w:tcW w:w="6678" w:type="dxa"/>
            <w:tcBorders>
              <w:top w:val="single" w:sz="4" w:space="0" w:color="auto"/>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p>
        </w:tc>
        <w:tc>
          <w:tcPr>
            <w:tcW w:w="1134" w:type="dxa"/>
            <w:tcBorders>
              <w:top w:val="single" w:sz="4" w:space="0" w:color="auto"/>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c>
          <w:tcPr>
            <w:tcW w:w="1300" w:type="dxa"/>
            <w:tcBorders>
              <w:top w:val="single" w:sz="4" w:space="0" w:color="auto"/>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r>
      <w:tr w:rsidR="0090448D" w:rsidRPr="006552E9" w:rsidTr="00186401">
        <w:trPr>
          <w:trHeight w:val="525"/>
        </w:trPr>
        <w:tc>
          <w:tcPr>
            <w:tcW w:w="6678" w:type="dxa"/>
            <w:tcBorders>
              <w:top w:val="nil"/>
              <w:left w:val="nil"/>
              <w:bottom w:val="nil"/>
              <w:right w:val="nil"/>
            </w:tcBorders>
            <w:shd w:val="clear" w:color="auto" w:fill="auto"/>
            <w:vAlign w:val="bottom"/>
            <w:hideMark/>
          </w:tcPr>
          <w:p w:rsidR="0090448D" w:rsidRPr="006552E9" w:rsidRDefault="0090448D" w:rsidP="001A5689">
            <w:pPr>
              <w:spacing w:before="0"/>
              <w:jc w:val="left"/>
              <w:rPr>
                <w:rFonts w:cs="Arial"/>
                <w:sz w:val="20"/>
                <w:szCs w:val="20"/>
              </w:rPr>
            </w:pPr>
            <w:r w:rsidRPr="006552E9">
              <w:rPr>
                <w:rFonts w:cs="Arial"/>
                <w:sz w:val="20"/>
                <w:szCs w:val="20"/>
              </w:rPr>
              <w:t>Fair value of the Old Public Trust Building and associated land at 30 June per valuation</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2,250 </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1,850 </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r w:rsidRPr="006552E9">
              <w:rPr>
                <w:rFonts w:cs="Arial"/>
                <w:sz w:val="20"/>
                <w:szCs w:val="20"/>
              </w:rPr>
              <w:t xml:space="preserve"> Apportioned as follows: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ind w:firstLineChars="100" w:firstLine="200"/>
              <w:jc w:val="left"/>
              <w:rPr>
                <w:rFonts w:cs="Arial"/>
                <w:sz w:val="20"/>
                <w:szCs w:val="20"/>
              </w:rPr>
            </w:pPr>
            <w:r w:rsidRPr="006552E9">
              <w:rPr>
                <w:rFonts w:cs="Arial"/>
                <w:sz w:val="20"/>
                <w:szCs w:val="20"/>
              </w:rPr>
              <w:t xml:space="preserve"> Land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1,164 </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1,164 </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ind w:firstLineChars="100" w:firstLine="200"/>
              <w:jc w:val="left"/>
              <w:rPr>
                <w:rFonts w:cs="Arial"/>
                <w:sz w:val="20"/>
                <w:szCs w:val="20"/>
              </w:rPr>
            </w:pPr>
            <w:r w:rsidRPr="006552E9">
              <w:rPr>
                <w:rFonts w:cs="Arial"/>
                <w:sz w:val="20"/>
                <w:szCs w:val="20"/>
              </w:rPr>
              <w:t xml:space="preserve"> Building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706 </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374 </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ind w:firstLineChars="100" w:firstLine="200"/>
              <w:jc w:val="left"/>
              <w:rPr>
                <w:rFonts w:cs="Arial"/>
                <w:sz w:val="20"/>
                <w:szCs w:val="20"/>
              </w:rPr>
            </w:pPr>
            <w:r w:rsidRPr="006552E9">
              <w:rPr>
                <w:rFonts w:cs="Arial"/>
                <w:sz w:val="20"/>
                <w:szCs w:val="20"/>
              </w:rPr>
              <w:t xml:space="preserve"> Investment </w:t>
            </w:r>
            <w:r w:rsidR="00186401" w:rsidRPr="006552E9">
              <w:rPr>
                <w:rFonts w:cs="Arial"/>
                <w:sz w:val="20"/>
                <w:szCs w:val="20"/>
              </w:rPr>
              <w:t xml:space="preserve">property </w:t>
            </w:r>
            <w:r w:rsidRPr="006552E9">
              <w:rPr>
                <w:rFonts w:cs="Arial"/>
                <w:sz w:val="20"/>
                <w:szCs w:val="20"/>
              </w:rPr>
              <w:t xml:space="preserve">(note 16)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380 </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312 </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p>
        </w:tc>
        <w:tc>
          <w:tcPr>
            <w:tcW w:w="1134" w:type="dxa"/>
            <w:tcBorders>
              <w:top w:val="single" w:sz="4" w:space="0" w:color="auto"/>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2,250 </w:t>
            </w:r>
          </w:p>
        </w:tc>
        <w:tc>
          <w:tcPr>
            <w:tcW w:w="1300" w:type="dxa"/>
            <w:tcBorders>
              <w:top w:val="single" w:sz="4" w:space="0" w:color="auto"/>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1,850 </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p>
        </w:tc>
      </w:tr>
      <w:tr w:rsidR="0090448D" w:rsidRPr="006552E9" w:rsidTr="00186401">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r w:rsidRPr="006552E9">
              <w:rPr>
                <w:rFonts w:cs="Arial"/>
                <w:sz w:val="20"/>
                <w:szCs w:val="20"/>
              </w:rPr>
              <w:t xml:space="preserve">The change in fair value of land and building has been reflected as follows: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p>
        </w:tc>
      </w:tr>
      <w:tr w:rsidR="0090448D" w:rsidRPr="006552E9" w:rsidTr="00186401">
        <w:tc>
          <w:tcPr>
            <w:tcW w:w="6678" w:type="dxa"/>
            <w:tcBorders>
              <w:top w:val="nil"/>
              <w:left w:val="nil"/>
              <w:bottom w:val="nil"/>
              <w:right w:val="nil"/>
            </w:tcBorders>
            <w:shd w:val="clear" w:color="auto" w:fill="auto"/>
            <w:noWrap/>
            <w:vAlign w:val="bottom"/>
            <w:hideMark/>
          </w:tcPr>
          <w:p w:rsidR="0090448D" w:rsidRPr="006552E9" w:rsidRDefault="0090448D" w:rsidP="0090448D">
            <w:pPr>
              <w:spacing w:before="0"/>
              <w:jc w:val="left"/>
              <w:rPr>
                <w:rFonts w:cs="Arial"/>
                <w:sz w:val="20"/>
                <w:szCs w:val="20"/>
              </w:rPr>
            </w:pPr>
            <w:r w:rsidRPr="006552E9">
              <w:rPr>
                <w:rFonts w:cs="Arial"/>
                <w:sz w:val="20"/>
                <w:szCs w:val="20"/>
              </w:rPr>
              <w:t xml:space="preserve"> Accumulated depreciation eliminated on revaluation </w:t>
            </w:r>
          </w:p>
        </w:tc>
        <w:tc>
          <w:tcPr>
            <w:tcW w:w="1134"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(11)</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(43)</w:t>
            </w:r>
          </w:p>
        </w:tc>
      </w:tr>
      <w:tr w:rsidR="0090448D" w:rsidRPr="006552E9" w:rsidTr="00186401">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r w:rsidRPr="006552E9">
              <w:rPr>
                <w:rFonts w:cs="Arial"/>
                <w:sz w:val="20"/>
                <w:szCs w:val="20"/>
              </w:rPr>
              <w:t xml:space="preserve"> Revaluation gain/(loss) through revaluation reserve (note 21) </w:t>
            </w:r>
          </w:p>
        </w:tc>
        <w:tc>
          <w:tcPr>
            <w:tcW w:w="1134" w:type="dxa"/>
            <w:tcBorders>
              <w:top w:val="nil"/>
              <w:left w:val="nil"/>
              <w:bottom w:val="nil"/>
              <w:right w:val="nil"/>
            </w:tcBorders>
            <w:shd w:val="clear" w:color="auto" w:fill="auto"/>
            <w:noWrap/>
            <w:vAlign w:val="bottom"/>
            <w:hideMark/>
          </w:tcPr>
          <w:p w:rsidR="0090448D" w:rsidRPr="006552E9" w:rsidRDefault="0090448D" w:rsidP="00192948">
            <w:pPr>
              <w:spacing w:before="0"/>
              <w:jc w:val="right"/>
              <w:rPr>
                <w:rFonts w:cs="Arial"/>
                <w:sz w:val="20"/>
                <w:szCs w:val="20"/>
              </w:rPr>
            </w:pPr>
            <w:r w:rsidRPr="006552E9">
              <w:rPr>
                <w:rFonts w:cs="Arial"/>
                <w:sz w:val="20"/>
                <w:szCs w:val="20"/>
              </w:rPr>
              <w:t xml:space="preserve"> </w:t>
            </w:r>
            <w:r w:rsidR="00192948">
              <w:rPr>
                <w:rFonts w:cs="Arial"/>
                <w:sz w:val="20"/>
                <w:szCs w:val="20"/>
              </w:rPr>
              <w:t>274</w:t>
            </w:r>
            <w:r w:rsidRPr="006552E9">
              <w:rPr>
                <w:rFonts w:cs="Arial"/>
                <w:sz w:val="20"/>
                <w:szCs w:val="20"/>
              </w:rPr>
              <w:t xml:space="preserve"> </w:t>
            </w:r>
          </w:p>
        </w:tc>
        <w:tc>
          <w:tcPr>
            <w:tcW w:w="1300" w:type="dxa"/>
            <w:tcBorders>
              <w:top w:val="nil"/>
              <w:left w:val="nil"/>
              <w:bottom w:val="nil"/>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(1,010)</w:t>
            </w:r>
          </w:p>
        </w:tc>
      </w:tr>
      <w:tr w:rsidR="0090448D" w:rsidRPr="006552E9" w:rsidTr="00186401">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sz w:val="20"/>
                <w:szCs w:val="20"/>
              </w:rPr>
            </w:pPr>
            <w:r w:rsidRPr="006552E9">
              <w:rPr>
                <w:rFonts w:cs="Arial"/>
                <w:sz w:val="20"/>
                <w:szCs w:val="20"/>
              </w:rPr>
              <w:t xml:space="preserve"> Revaluation gain/(loss) through net operating surplus</w:t>
            </w:r>
            <w:r w:rsidR="000B4830">
              <w:rPr>
                <w:rFonts w:cs="Arial"/>
                <w:sz w:val="20"/>
                <w:szCs w:val="20"/>
              </w:rPr>
              <w:t>/</w:t>
            </w:r>
            <w:r w:rsidRPr="006552E9">
              <w:rPr>
                <w:rFonts w:cs="Arial"/>
                <w:sz w:val="20"/>
                <w:szCs w:val="20"/>
              </w:rPr>
              <w:t xml:space="preserve">(deficit) </w:t>
            </w:r>
          </w:p>
        </w:tc>
        <w:tc>
          <w:tcPr>
            <w:tcW w:w="1134" w:type="dxa"/>
            <w:tcBorders>
              <w:top w:val="nil"/>
              <w:left w:val="nil"/>
              <w:bottom w:val="single" w:sz="4" w:space="0" w:color="auto"/>
              <w:right w:val="nil"/>
            </w:tcBorders>
            <w:shd w:val="clear" w:color="auto" w:fill="auto"/>
            <w:noWrap/>
            <w:vAlign w:val="bottom"/>
            <w:hideMark/>
          </w:tcPr>
          <w:p w:rsidR="0090448D" w:rsidRPr="006552E9" w:rsidRDefault="00192948" w:rsidP="0090448D">
            <w:pPr>
              <w:spacing w:before="0"/>
              <w:jc w:val="right"/>
              <w:rPr>
                <w:rFonts w:cs="Arial"/>
                <w:sz w:val="20"/>
                <w:szCs w:val="20"/>
              </w:rPr>
            </w:pPr>
            <w:r>
              <w:rPr>
                <w:rFonts w:cs="Arial"/>
                <w:sz w:val="20"/>
                <w:szCs w:val="20"/>
              </w:rPr>
              <w:t>69</w:t>
            </w:r>
            <w:r w:rsidR="0090448D" w:rsidRPr="006552E9">
              <w:rPr>
                <w:rFonts w:cs="Arial"/>
                <w:sz w:val="20"/>
                <w:szCs w:val="20"/>
              </w:rPr>
              <w:t xml:space="preserve"> </w:t>
            </w:r>
          </w:p>
        </w:tc>
        <w:tc>
          <w:tcPr>
            <w:tcW w:w="1300" w:type="dxa"/>
            <w:tcBorders>
              <w:top w:val="nil"/>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sz w:val="20"/>
                <w:szCs w:val="20"/>
              </w:rPr>
            </w:pPr>
            <w:r w:rsidRPr="006552E9">
              <w:rPr>
                <w:rFonts w:cs="Arial"/>
                <w:sz w:val="20"/>
                <w:szCs w:val="20"/>
              </w:rPr>
              <w:t xml:space="preserve"> (69)</w:t>
            </w:r>
          </w:p>
        </w:tc>
      </w:tr>
      <w:tr w:rsidR="0090448D" w:rsidRPr="006552E9" w:rsidTr="00186401">
        <w:trPr>
          <w:trHeight w:val="255"/>
        </w:trPr>
        <w:tc>
          <w:tcPr>
            <w:tcW w:w="6678" w:type="dxa"/>
            <w:tcBorders>
              <w:top w:val="nil"/>
              <w:left w:val="nil"/>
              <w:bottom w:val="nil"/>
              <w:right w:val="nil"/>
            </w:tcBorders>
            <w:shd w:val="clear" w:color="auto" w:fill="auto"/>
            <w:noWrap/>
            <w:vAlign w:val="bottom"/>
            <w:hideMark/>
          </w:tcPr>
          <w:p w:rsidR="0090448D" w:rsidRPr="006552E9" w:rsidRDefault="0090448D" w:rsidP="001A5689">
            <w:pPr>
              <w:spacing w:before="0"/>
              <w:jc w:val="left"/>
              <w:rPr>
                <w:rFonts w:cs="Arial"/>
                <w:b/>
                <w:bCs/>
                <w:sz w:val="20"/>
                <w:szCs w:val="20"/>
              </w:rPr>
            </w:pPr>
          </w:p>
        </w:tc>
        <w:tc>
          <w:tcPr>
            <w:tcW w:w="1134" w:type="dxa"/>
            <w:tcBorders>
              <w:top w:val="nil"/>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332 </w:t>
            </w:r>
          </w:p>
        </w:tc>
        <w:tc>
          <w:tcPr>
            <w:tcW w:w="1300" w:type="dxa"/>
            <w:tcBorders>
              <w:top w:val="nil"/>
              <w:left w:val="nil"/>
              <w:bottom w:val="single" w:sz="4" w:space="0" w:color="auto"/>
              <w:right w:val="nil"/>
            </w:tcBorders>
            <w:shd w:val="clear" w:color="auto" w:fill="auto"/>
            <w:noWrap/>
            <w:vAlign w:val="bottom"/>
            <w:hideMark/>
          </w:tcPr>
          <w:p w:rsidR="0090448D" w:rsidRPr="006552E9" w:rsidRDefault="0090448D" w:rsidP="0090448D">
            <w:pPr>
              <w:spacing w:before="0"/>
              <w:jc w:val="right"/>
              <w:rPr>
                <w:rFonts w:cs="Arial"/>
                <w:b/>
                <w:bCs/>
                <w:sz w:val="20"/>
                <w:szCs w:val="20"/>
              </w:rPr>
            </w:pPr>
            <w:r w:rsidRPr="006552E9">
              <w:rPr>
                <w:rFonts w:cs="Arial"/>
                <w:b/>
                <w:bCs/>
                <w:sz w:val="20"/>
                <w:szCs w:val="20"/>
              </w:rPr>
              <w:t xml:space="preserve"> (1,122)</w:t>
            </w:r>
          </w:p>
        </w:tc>
      </w:tr>
    </w:tbl>
    <w:p w:rsidR="001A5689" w:rsidRPr="006552E9" w:rsidRDefault="000626AE" w:rsidP="00E22C83">
      <w:pPr>
        <w:pStyle w:val="Style1"/>
      </w:pPr>
      <w:r w:rsidRPr="006552E9">
        <w:t>15.</w:t>
      </w:r>
      <w:r w:rsidRPr="006552E9">
        <w:tab/>
        <w:t>Works of art</w:t>
      </w:r>
    </w:p>
    <w:p w:rsidR="0087298E" w:rsidRPr="006552E9" w:rsidRDefault="0087298E" w:rsidP="0087298E">
      <w:pPr>
        <w:pStyle w:val="Tabletext"/>
      </w:pPr>
    </w:p>
    <w:tbl>
      <w:tblPr>
        <w:tblW w:w="9138" w:type="dxa"/>
        <w:tblInd w:w="93" w:type="dxa"/>
        <w:tblLook w:val="04A0" w:firstRow="1" w:lastRow="0" w:firstColumn="1" w:lastColumn="0" w:noHBand="0" w:noVBand="1"/>
      </w:tblPr>
      <w:tblGrid>
        <w:gridCol w:w="6678"/>
        <w:gridCol w:w="1120"/>
        <w:gridCol w:w="1340"/>
      </w:tblGrid>
      <w:tr w:rsidR="003B632D" w:rsidRPr="006552E9" w:rsidTr="003B632D">
        <w:trPr>
          <w:trHeight w:val="255"/>
        </w:trPr>
        <w:tc>
          <w:tcPr>
            <w:tcW w:w="6678" w:type="dxa"/>
            <w:tcBorders>
              <w:top w:val="nil"/>
              <w:left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20" w:type="dxa"/>
            <w:tcBorders>
              <w:top w:val="nil"/>
              <w:left w:val="nil"/>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2013 </w:t>
            </w:r>
          </w:p>
        </w:tc>
        <w:tc>
          <w:tcPr>
            <w:tcW w:w="1340" w:type="dxa"/>
            <w:tcBorders>
              <w:top w:val="nil"/>
              <w:left w:val="nil"/>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2012 </w:t>
            </w:r>
          </w:p>
        </w:tc>
      </w:tr>
      <w:tr w:rsidR="003B632D" w:rsidRPr="006552E9" w:rsidTr="003B632D">
        <w:trPr>
          <w:trHeight w:val="255"/>
        </w:trPr>
        <w:tc>
          <w:tcPr>
            <w:tcW w:w="6678"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20"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$000 </w:t>
            </w:r>
          </w:p>
        </w:tc>
        <w:tc>
          <w:tcPr>
            <w:tcW w:w="1340"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$000 </w:t>
            </w:r>
          </w:p>
        </w:tc>
      </w:tr>
      <w:tr w:rsidR="003B632D" w:rsidRPr="006552E9" w:rsidTr="003B632D">
        <w:trPr>
          <w:trHeight w:val="255"/>
        </w:trPr>
        <w:tc>
          <w:tcPr>
            <w:tcW w:w="6678" w:type="dxa"/>
            <w:tcBorders>
              <w:top w:val="single" w:sz="4" w:space="0" w:color="auto"/>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Valuation</w:t>
            </w:r>
          </w:p>
        </w:tc>
        <w:tc>
          <w:tcPr>
            <w:tcW w:w="1120" w:type="dxa"/>
            <w:tcBorders>
              <w:top w:val="single" w:sz="4" w:space="0" w:color="auto"/>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p>
        </w:tc>
        <w:tc>
          <w:tcPr>
            <w:tcW w:w="1340" w:type="dxa"/>
            <w:tcBorders>
              <w:top w:val="single" w:sz="4" w:space="0" w:color="auto"/>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Balance at 1 July</w:t>
            </w:r>
          </w:p>
        </w:tc>
        <w:tc>
          <w:tcPr>
            <w:tcW w:w="112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1,163 </w:t>
            </w:r>
          </w:p>
        </w:tc>
        <w:tc>
          <w:tcPr>
            <w:tcW w:w="134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2,046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Additions</w:t>
            </w:r>
          </w:p>
        </w:tc>
        <w:tc>
          <w:tcPr>
            <w:tcW w:w="112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34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Revaluation increase/(decrease)</w:t>
            </w:r>
          </w:p>
        </w:tc>
        <w:tc>
          <w:tcPr>
            <w:tcW w:w="112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17 </w:t>
            </w:r>
          </w:p>
        </w:tc>
        <w:tc>
          <w:tcPr>
            <w:tcW w:w="134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(48)</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Disposals</w:t>
            </w:r>
            <w:r w:rsidR="00C02722">
              <w:rPr>
                <w:rFonts w:cs="Arial"/>
                <w:sz w:val="20"/>
                <w:szCs w:val="20"/>
              </w:rPr>
              <w:t xml:space="preserve"> </w:t>
            </w:r>
            <w:r w:rsidR="002E460F">
              <w:rPr>
                <w:rFonts w:cs="Arial"/>
                <w:sz w:val="20"/>
                <w:szCs w:val="20"/>
              </w:rPr>
              <w:t>–</w:t>
            </w:r>
            <w:r w:rsidRPr="006552E9">
              <w:rPr>
                <w:rFonts w:cs="Arial"/>
                <w:sz w:val="20"/>
                <w:szCs w:val="20"/>
              </w:rPr>
              <w:t xml:space="preserve"> gifting</w:t>
            </w:r>
          </w:p>
        </w:tc>
        <w:tc>
          <w:tcPr>
            <w:tcW w:w="112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34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(835)</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Impairment losses</w:t>
            </w:r>
          </w:p>
        </w:tc>
        <w:tc>
          <w:tcPr>
            <w:tcW w:w="112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34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Carrying amount at 30 June</w:t>
            </w:r>
          </w:p>
        </w:tc>
        <w:tc>
          <w:tcPr>
            <w:tcW w:w="1120"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1,180 </w:t>
            </w:r>
          </w:p>
        </w:tc>
        <w:tc>
          <w:tcPr>
            <w:tcW w:w="1340"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1,163 </w:t>
            </w:r>
          </w:p>
        </w:tc>
      </w:tr>
    </w:tbl>
    <w:p w:rsidR="000626AE" w:rsidRPr="006552E9" w:rsidRDefault="003B632D" w:rsidP="001A5689">
      <w:r w:rsidRPr="006552E9">
        <w:t>The works of art are stated at fair value as determined by Christopher Moore of Chris Moore Gallery. The valuation was completed in June 2013 effective as at 30 June 2013. Christopher Moore is an art dealer and an experienced independent valuer of artworks. There is no formal qualification for valuing artworks in New Zealand.</w:t>
      </w:r>
    </w:p>
    <w:p w:rsidR="003B632D" w:rsidRPr="006552E9" w:rsidRDefault="003B632D" w:rsidP="003B632D">
      <w:r w:rsidRPr="006552E9">
        <w:t xml:space="preserve">In August 2011, Creative New Zealand gifted Colin McCahon’s </w:t>
      </w:r>
      <w:r w:rsidRPr="006552E9">
        <w:rPr>
          <w:i/>
        </w:rPr>
        <w:t>Landscape Theme and Variation, Series B, 1963</w:t>
      </w:r>
      <w:r w:rsidRPr="006552E9">
        <w:t xml:space="preserve"> to the Museum of New Zealand Te Papa Tongarewa (Te Papa), Wellington. The artwork is made up of eight canvas panels each being </w:t>
      </w:r>
      <w:r w:rsidR="00186401">
        <w:t>nearly</w:t>
      </w:r>
      <w:r w:rsidRPr="006552E9">
        <w:t xml:space="preserve"> 1706 x 930mm. It was valued at 30 June 2011 at $834,783 (excluding GST). </w:t>
      </w:r>
    </w:p>
    <w:p w:rsidR="003B632D" w:rsidRPr="006552E9" w:rsidRDefault="003B632D" w:rsidP="003B632D">
      <w:r w:rsidRPr="006552E9">
        <w:t>By gifting the artwork to Te Papa Creative New Zealand has honoured the original intention of the purchase, being:</w:t>
      </w:r>
    </w:p>
    <w:p w:rsidR="003B632D" w:rsidRPr="006552E9" w:rsidRDefault="00186401" w:rsidP="003B632D">
      <w:pPr>
        <w:pStyle w:val="Bullet"/>
      </w:pPr>
      <w:r w:rsidRPr="006552E9">
        <w:t xml:space="preserve">acquiring </w:t>
      </w:r>
      <w:r w:rsidR="003B632D" w:rsidRPr="006552E9">
        <w:t>the work for the nation and preventing the panels from going to overseas buyers, and</w:t>
      </w:r>
    </w:p>
    <w:p w:rsidR="003B632D" w:rsidRPr="006552E9" w:rsidRDefault="00186401" w:rsidP="003B632D">
      <w:pPr>
        <w:pStyle w:val="Bullet"/>
      </w:pPr>
      <w:r w:rsidRPr="006552E9">
        <w:t xml:space="preserve">making </w:t>
      </w:r>
      <w:r w:rsidR="003B632D" w:rsidRPr="006552E9">
        <w:t>the panels available to the public by presenting them to the National Gallery provided ‘the gallery undertakes to make proper display use of the panels</w:t>
      </w:r>
      <w:r>
        <w:t>’</w:t>
      </w:r>
      <w:r w:rsidR="003B632D" w:rsidRPr="006552E9">
        <w:t xml:space="preserve">. </w:t>
      </w:r>
    </w:p>
    <w:p w:rsidR="003B632D" w:rsidRPr="006552E9" w:rsidRDefault="003B632D" w:rsidP="003B632D">
      <w:r w:rsidRPr="006552E9">
        <w:t xml:space="preserve">The artwork was on </w:t>
      </w:r>
      <w:r w:rsidR="00186401">
        <w:t>long-term</w:t>
      </w:r>
      <w:r w:rsidRPr="006552E9">
        <w:t xml:space="preserve"> loan at Te Papa </w:t>
      </w:r>
      <w:r w:rsidR="00186401">
        <w:t>because</w:t>
      </w:r>
      <w:r w:rsidRPr="006552E9">
        <w:t xml:space="preserve"> Creative New Zealand does not have the wall space, appropriate security or humidity controlled conditions required to hang or store this artwork in any of its current sites.</w:t>
      </w:r>
    </w:p>
    <w:p w:rsidR="000626AE" w:rsidRPr="006552E9" w:rsidRDefault="000626AE" w:rsidP="00E22C83">
      <w:pPr>
        <w:pStyle w:val="Style1"/>
      </w:pPr>
      <w:r w:rsidRPr="006552E9">
        <w:t>16.</w:t>
      </w:r>
      <w:r w:rsidRPr="006552E9">
        <w:tab/>
        <w:t>Investment property</w:t>
      </w:r>
    </w:p>
    <w:p w:rsidR="0087298E" w:rsidRPr="006552E9" w:rsidRDefault="0087298E" w:rsidP="0087298E">
      <w:pPr>
        <w:pStyle w:val="Tabletext"/>
      </w:pPr>
    </w:p>
    <w:tbl>
      <w:tblPr>
        <w:tblW w:w="9138" w:type="dxa"/>
        <w:tblInd w:w="93" w:type="dxa"/>
        <w:tblLook w:val="04A0" w:firstRow="1" w:lastRow="0" w:firstColumn="1" w:lastColumn="0" w:noHBand="0" w:noVBand="1"/>
      </w:tblPr>
      <w:tblGrid>
        <w:gridCol w:w="6678"/>
        <w:gridCol w:w="1120"/>
        <w:gridCol w:w="1340"/>
      </w:tblGrid>
      <w:tr w:rsidR="003B632D" w:rsidRPr="006552E9" w:rsidTr="003B632D">
        <w:trPr>
          <w:trHeight w:val="255"/>
        </w:trPr>
        <w:tc>
          <w:tcPr>
            <w:tcW w:w="6678" w:type="dxa"/>
            <w:tcBorders>
              <w:top w:val="nil"/>
              <w:left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20" w:type="dxa"/>
            <w:tcBorders>
              <w:top w:val="nil"/>
              <w:left w:val="nil"/>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2013 </w:t>
            </w:r>
          </w:p>
        </w:tc>
        <w:tc>
          <w:tcPr>
            <w:tcW w:w="1340" w:type="dxa"/>
            <w:tcBorders>
              <w:top w:val="nil"/>
              <w:left w:val="nil"/>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2012 </w:t>
            </w:r>
          </w:p>
        </w:tc>
      </w:tr>
      <w:tr w:rsidR="003B632D" w:rsidRPr="006552E9" w:rsidTr="003B632D">
        <w:trPr>
          <w:trHeight w:val="255"/>
        </w:trPr>
        <w:tc>
          <w:tcPr>
            <w:tcW w:w="6678"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20"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$000 </w:t>
            </w:r>
          </w:p>
        </w:tc>
        <w:tc>
          <w:tcPr>
            <w:tcW w:w="1340"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$000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 xml:space="preserve"> Balance at 1 July </w:t>
            </w:r>
          </w:p>
        </w:tc>
        <w:tc>
          <w:tcPr>
            <w:tcW w:w="112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312 </w:t>
            </w:r>
          </w:p>
        </w:tc>
        <w:tc>
          <w:tcPr>
            <w:tcW w:w="134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540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 xml:space="preserve"> Acquisitions </w:t>
            </w:r>
          </w:p>
        </w:tc>
        <w:tc>
          <w:tcPr>
            <w:tcW w:w="112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34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 xml:space="preserve"> Transfer from property, plant and equipment </w:t>
            </w:r>
          </w:p>
        </w:tc>
        <w:tc>
          <w:tcPr>
            <w:tcW w:w="112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340" w:type="dxa"/>
            <w:tcBorders>
              <w:top w:val="nil"/>
              <w:left w:val="nil"/>
              <w:bottom w:val="nil"/>
              <w:right w:val="nil"/>
            </w:tcBorders>
            <w:shd w:val="clear" w:color="auto" w:fill="auto"/>
            <w:noWrap/>
            <w:vAlign w:val="bottom"/>
            <w:hideMark/>
          </w:tcPr>
          <w:p w:rsidR="003B632D" w:rsidRPr="006552E9" w:rsidRDefault="00C02722" w:rsidP="003B632D">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 xml:space="preserve"> Change in fair value </w:t>
            </w:r>
          </w:p>
        </w:tc>
        <w:tc>
          <w:tcPr>
            <w:tcW w:w="112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68 </w:t>
            </w:r>
          </w:p>
        </w:tc>
        <w:tc>
          <w:tcPr>
            <w:tcW w:w="1340" w:type="dxa"/>
            <w:tcBorders>
              <w:top w:val="nil"/>
              <w:left w:val="nil"/>
              <w:bottom w:val="nil"/>
              <w:right w:val="nil"/>
            </w:tcBorders>
            <w:shd w:val="clear" w:color="auto" w:fill="auto"/>
            <w:noWrap/>
            <w:vAlign w:val="bottom"/>
            <w:hideMark/>
          </w:tcPr>
          <w:p w:rsidR="003B632D" w:rsidRPr="006552E9" w:rsidRDefault="003B632D" w:rsidP="003B632D">
            <w:pPr>
              <w:spacing w:before="0"/>
              <w:jc w:val="right"/>
              <w:rPr>
                <w:rFonts w:cs="Arial"/>
                <w:sz w:val="20"/>
                <w:szCs w:val="20"/>
              </w:rPr>
            </w:pPr>
            <w:r w:rsidRPr="006552E9">
              <w:rPr>
                <w:rFonts w:cs="Arial"/>
                <w:sz w:val="20"/>
                <w:szCs w:val="20"/>
              </w:rPr>
              <w:t xml:space="preserve"> (228)</w:t>
            </w:r>
          </w:p>
        </w:tc>
      </w:tr>
      <w:tr w:rsidR="003B632D" w:rsidRPr="006552E9" w:rsidTr="003B632D">
        <w:trPr>
          <w:trHeight w:val="255"/>
        </w:trPr>
        <w:tc>
          <w:tcPr>
            <w:tcW w:w="6678"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Carrying amount at 30 June</w:t>
            </w:r>
          </w:p>
        </w:tc>
        <w:tc>
          <w:tcPr>
            <w:tcW w:w="1120"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380 </w:t>
            </w:r>
          </w:p>
        </w:tc>
        <w:tc>
          <w:tcPr>
            <w:tcW w:w="1340"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3B632D">
            <w:pPr>
              <w:spacing w:before="0"/>
              <w:jc w:val="right"/>
              <w:rPr>
                <w:rFonts w:cs="Arial"/>
                <w:b/>
                <w:bCs/>
                <w:sz w:val="20"/>
                <w:szCs w:val="20"/>
              </w:rPr>
            </w:pPr>
            <w:r w:rsidRPr="006552E9">
              <w:rPr>
                <w:rFonts w:cs="Arial"/>
                <w:b/>
                <w:bCs/>
                <w:sz w:val="20"/>
                <w:szCs w:val="20"/>
              </w:rPr>
              <w:t xml:space="preserve"> 312 </w:t>
            </w:r>
          </w:p>
        </w:tc>
      </w:tr>
    </w:tbl>
    <w:p w:rsidR="000626AE" w:rsidRPr="006552E9" w:rsidRDefault="003B632D" w:rsidP="003B632D">
      <w:r w:rsidRPr="006552E9">
        <w:t>Investment property consists of part of the Old Public Trust Building</w:t>
      </w:r>
      <w:r w:rsidR="00186401">
        <w:t>,</w:t>
      </w:r>
      <w:r w:rsidRPr="006552E9">
        <w:t xml:space="preserve"> which is leased to a third party.</w:t>
      </w:r>
      <w:r w:rsidR="0087298E" w:rsidRPr="006552E9">
        <w:t xml:space="preserve"> </w:t>
      </w:r>
      <w:r w:rsidRPr="006552E9">
        <w:t>The property was revalued at 30 June 2013. See note 14 for further details.</w:t>
      </w:r>
    </w:p>
    <w:p w:rsidR="000626AE" w:rsidRPr="006552E9" w:rsidRDefault="000626AE" w:rsidP="00E22C83">
      <w:pPr>
        <w:pStyle w:val="Style1"/>
      </w:pPr>
      <w:r w:rsidRPr="006552E9">
        <w:t xml:space="preserve">17. </w:t>
      </w:r>
      <w:r w:rsidRPr="006552E9">
        <w:tab/>
        <w:t>Intangible assets</w:t>
      </w:r>
    </w:p>
    <w:p w:rsidR="0087298E" w:rsidRPr="006552E9" w:rsidRDefault="0087298E" w:rsidP="0087298E">
      <w:pPr>
        <w:pStyle w:val="Tabletext"/>
      </w:pPr>
    </w:p>
    <w:tbl>
      <w:tblPr>
        <w:tblW w:w="9229" w:type="dxa"/>
        <w:tblInd w:w="93" w:type="dxa"/>
        <w:tblLook w:val="04A0" w:firstRow="1" w:lastRow="0" w:firstColumn="1" w:lastColumn="0" w:noHBand="0" w:noVBand="1"/>
      </w:tblPr>
      <w:tblGrid>
        <w:gridCol w:w="4693"/>
        <w:gridCol w:w="1134"/>
        <w:gridCol w:w="1134"/>
        <w:gridCol w:w="1134"/>
        <w:gridCol w:w="1134"/>
      </w:tblGrid>
      <w:tr w:rsidR="003B632D" w:rsidRPr="006552E9" w:rsidTr="0087298E">
        <w:tc>
          <w:tcPr>
            <w:tcW w:w="4693" w:type="dxa"/>
            <w:tcBorders>
              <w:top w:val="nil"/>
              <w:left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right w:val="nil"/>
            </w:tcBorders>
            <w:shd w:val="clear" w:color="auto" w:fill="auto"/>
            <w:vAlign w:val="bottom"/>
            <w:hideMark/>
          </w:tcPr>
          <w:p w:rsidR="003B632D" w:rsidRPr="006552E9" w:rsidRDefault="003B632D" w:rsidP="0087298E">
            <w:pPr>
              <w:spacing w:before="0"/>
              <w:jc w:val="right"/>
              <w:rPr>
                <w:rFonts w:cs="Arial"/>
                <w:b/>
                <w:bCs/>
                <w:sz w:val="18"/>
                <w:szCs w:val="18"/>
              </w:rPr>
            </w:pPr>
            <w:r w:rsidRPr="006552E9">
              <w:rPr>
                <w:rFonts w:cs="Arial"/>
                <w:b/>
                <w:bCs/>
                <w:sz w:val="18"/>
                <w:szCs w:val="18"/>
              </w:rPr>
              <w:t>Computer software</w:t>
            </w:r>
          </w:p>
        </w:tc>
        <w:tc>
          <w:tcPr>
            <w:tcW w:w="1134" w:type="dxa"/>
            <w:tcBorders>
              <w:top w:val="nil"/>
              <w:left w:val="nil"/>
              <w:right w:val="nil"/>
            </w:tcBorders>
            <w:shd w:val="clear" w:color="auto" w:fill="auto"/>
            <w:vAlign w:val="bottom"/>
            <w:hideMark/>
          </w:tcPr>
          <w:p w:rsidR="003B632D" w:rsidRPr="006552E9" w:rsidRDefault="003B632D" w:rsidP="0087298E">
            <w:pPr>
              <w:spacing w:before="0"/>
              <w:jc w:val="right"/>
              <w:rPr>
                <w:rFonts w:cs="Arial"/>
                <w:b/>
                <w:bCs/>
                <w:sz w:val="18"/>
                <w:szCs w:val="18"/>
              </w:rPr>
            </w:pPr>
            <w:r w:rsidRPr="006552E9">
              <w:rPr>
                <w:rFonts w:cs="Arial"/>
                <w:b/>
                <w:bCs/>
                <w:sz w:val="18"/>
                <w:szCs w:val="18"/>
              </w:rPr>
              <w:t>Web</w:t>
            </w:r>
            <w:r w:rsidR="0087298E" w:rsidRPr="006552E9">
              <w:rPr>
                <w:rFonts w:cs="Arial"/>
                <w:b/>
                <w:bCs/>
                <w:sz w:val="18"/>
                <w:szCs w:val="18"/>
              </w:rPr>
              <w:t xml:space="preserve"> </w:t>
            </w:r>
            <w:r w:rsidRPr="006552E9">
              <w:rPr>
                <w:rFonts w:cs="Arial"/>
                <w:b/>
                <w:bCs/>
                <w:sz w:val="18"/>
                <w:szCs w:val="18"/>
              </w:rPr>
              <w:t>portal</w:t>
            </w:r>
          </w:p>
        </w:tc>
        <w:tc>
          <w:tcPr>
            <w:tcW w:w="1134" w:type="dxa"/>
            <w:tcBorders>
              <w:top w:val="nil"/>
              <w:left w:val="nil"/>
              <w:right w:val="nil"/>
            </w:tcBorders>
            <w:shd w:val="clear" w:color="auto" w:fill="auto"/>
            <w:vAlign w:val="bottom"/>
            <w:hideMark/>
          </w:tcPr>
          <w:p w:rsidR="003B632D" w:rsidRPr="006552E9" w:rsidRDefault="003B632D" w:rsidP="0087298E">
            <w:pPr>
              <w:spacing w:before="0"/>
              <w:jc w:val="right"/>
              <w:rPr>
                <w:rFonts w:cs="Arial"/>
                <w:b/>
                <w:bCs/>
                <w:sz w:val="18"/>
                <w:szCs w:val="18"/>
              </w:rPr>
            </w:pPr>
            <w:r w:rsidRPr="006552E9">
              <w:rPr>
                <w:rFonts w:cs="Arial"/>
                <w:b/>
                <w:bCs/>
                <w:sz w:val="18"/>
                <w:szCs w:val="18"/>
              </w:rPr>
              <w:t>Work in progress</w:t>
            </w:r>
          </w:p>
        </w:tc>
        <w:tc>
          <w:tcPr>
            <w:tcW w:w="1134" w:type="dxa"/>
            <w:tcBorders>
              <w:top w:val="nil"/>
              <w:left w:val="nil"/>
              <w:right w:val="nil"/>
            </w:tcBorders>
            <w:shd w:val="clear" w:color="auto" w:fill="auto"/>
            <w:vAlign w:val="bottom"/>
            <w:hideMark/>
          </w:tcPr>
          <w:p w:rsidR="003B632D" w:rsidRPr="006552E9" w:rsidRDefault="003B632D" w:rsidP="0087298E">
            <w:pPr>
              <w:spacing w:before="0"/>
              <w:jc w:val="right"/>
              <w:rPr>
                <w:rFonts w:cs="Arial"/>
                <w:b/>
                <w:bCs/>
                <w:sz w:val="18"/>
                <w:szCs w:val="18"/>
              </w:rPr>
            </w:pPr>
            <w:r w:rsidRPr="006552E9">
              <w:rPr>
                <w:rFonts w:cs="Arial"/>
                <w:b/>
                <w:bCs/>
                <w:sz w:val="18"/>
                <w:szCs w:val="18"/>
              </w:rPr>
              <w:t>Total</w:t>
            </w:r>
          </w:p>
        </w:tc>
      </w:tr>
      <w:tr w:rsidR="003B632D" w:rsidRPr="006552E9" w:rsidTr="003B632D">
        <w:trPr>
          <w:trHeight w:val="255"/>
        </w:trPr>
        <w:tc>
          <w:tcPr>
            <w:tcW w:w="4693" w:type="dxa"/>
            <w:tcBorders>
              <w:top w:val="nil"/>
              <w:left w:val="nil"/>
              <w:bottom w:val="single" w:sz="4" w:space="0" w:color="auto"/>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16"/>
                <w:szCs w:val="16"/>
              </w:rPr>
            </w:pPr>
            <w:r w:rsidRPr="006552E9">
              <w:rPr>
                <w:rFonts w:cs="Arial"/>
                <w:b/>
                <w:bCs/>
                <w:sz w:val="16"/>
                <w:szCs w:val="16"/>
              </w:rPr>
              <w:t>$000</w:t>
            </w:r>
          </w:p>
        </w:tc>
        <w:tc>
          <w:tcPr>
            <w:tcW w:w="1134" w:type="dxa"/>
            <w:tcBorders>
              <w:top w:val="nil"/>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16"/>
                <w:szCs w:val="16"/>
              </w:rPr>
            </w:pPr>
            <w:r w:rsidRPr="006552E9">
              <w:rPr>
                <w:rFonts w:cs="Arial"/>
                <w:b/>
                <w:bCs/>
                <w:sz w:val="16"/>
                <w:szCs w:val="16"/>
              </w:rPr>
              <w:t>$000</w:t>
            </w:r>
          </w:p>
        </w:tc>
        <w:tc>
          <w:tcPr>
            <w:tcW w:w="1134" w:type="dxa"/>
            <w:tcBorders>
              <w:top w:val="nil"/>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16"/>
                <w:szCs w:val="16"/>
              </w:rPr>
            </w:pPr>
            <w:r w:rsidRPr="006552E9">
              <w:rPr>
                <w:rFonts w:cs="Arial"/>
                <w:b/>
                <w:bCs/>
                <w:sz w:val="16"/>
                <w:szCs w:val="16"/>
              </w:rPr>
              <w:t>$000</w:t>
            </w:r>
          </w:p>
        </w:tc>
        <w:tc>
          <w:tcPr>
            <w:tcW w:w="1134" w:type="dxa"/>
            <w:tcBorders>
              <w:top w:val="nil"/>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16"/>
                <w:szCs w:val="16"/>
              </w:rPr>
            </w:pPr>
            <w:r w:rsidRPr="006552E9">
              <w:rPr>
                <w:rFonts w:cs="Arial"/>
                <w:b/>
                <w:bCs/>
                <w:sz w:val="16"/>
                <w:szCs w:val="16"/>
              </w:rPr>
              <w:t>$000</w:t>
            </w:r>
          </w:p>
        </w:tc>
      </w:tr>
      <w:tr w:rsidR="003B632D" w:rsidRPr="006552E9" w:rsidTr="003B632D">
        <w:trPr>
          <w:trHeight w:val="255"/>
        </w:trPr>
        <w:tc>
          <w:tcPr>
            <w:tcW w:w="4693" w:type="dxa"/>
            <w:tcBorders>
              <w:top w:val="single" w:sz="4" w:space="0" w:color="auto"/>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Cost</w:t>
            </w:r>
          </w:p>
        </w:tc>
        <w:tc>
          <w:tcPr>
            <w:tcW w:w="1134" w:type="dxa"/>
            <w:tcBorders>
              <w:top w:val="single" w:sz="4" w:space="0" w:color="auto"/>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single" w:sz="4" w:space="0" w:color="auto"/>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single" w:sz="4" w:space="0" w:color="auto"/>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single" w:sz="4" w:space="0" w:color="auto"/>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Balance at 1 July 2012</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965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582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213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1,760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Additions</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83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307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390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Reclassification</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15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(15)</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Disposals</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(58)</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(58)</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Balance at 30 June 2013</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1,005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582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505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2,092 </w:t>
            </w:r>
          </w:p>
        </w:tc>
      </w:tr>
      <w:tr w:rsidR="003B632D" w:rsidRPr="006552E9" w:rsidTr="0087298E">
        <w:trPr>
          <w:trHeight w:val="227"/>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Accumulated amortisation</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Balance at 1 July 2012</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766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436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1,202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Amortisation expense</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100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123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223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Eliminated on disposal/reclassification</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(53)</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(53)</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Balance at 30 June 2013</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813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559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C02722" w:rsidP="0087298E">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3B632D" w:rsidRPr="006552E9">
              <w:rPr>
                <w:rFonts w:cs="Arial"/>
                <w:b/>
                <w:bCs/>
                <w:sz w:val="20"/>
                <w:szCs w:val="20"/>
              </w:rPr>
              <w:t xml:space="preserve">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1,372 </w:t>
            </w:r>
          </w:p>
        </w:tc>
      </w:tr>
      <w:tr w:rsidR="003B632D" w:rsidRPr="006552E9" w:rsidTr="0087298E">
        <w:trPr>
          <w:trHeight w:val="227"/>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70"/>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Carrying amount at 30 June 2013</w:t>
            </w:r>
          </w:p>
        </w:tc>
        <w:tc>
          <w:tcPr>
            <w:tcW w:w="1134" w:type="dxa"/>
            <w:tcBorders>
              <w:top w:val="single" w:sz="4" w:space="0" w:color="auto"/>
              <w:left w:val="nil"/>
              <w:bottom w:val="double" w:sz="6"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192 </w:t>
            </w:r>
          </w:p>
        </w:tc>
        <w:tc>
          <w:tcPr>
            <w:tcW w:w="1134" w:type="dxa"/>
            <w:tcBorders>
              <w:top w:val="single" w:sz="4" w:space="0" w:color="auto"/>
              <w:left w:val="nil"/>
              <w:bottom w:val="double" w:sz="6"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23 </w:t>
            </w:r>
          </w:p>
        </w:tc>
        <w:tc>
          <w:tcPr>
            <w:tcW w:w="1134" w:type="dxa"/>
            <w:tcBorders>
              <w:top w:val="single" w:sz="4" w:space="0" w:color="auto"/>
              <w:left w:val="nil"/>
              <w:bottom w:val="double" w:sz="6"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505 </w:t>
            </w:r>
          </w:p>
        </w:tc>
        <w:tc>
          <w:tcPr>
            <w:tcW w:w="1134" w:type="dxa"/>
            <w:tcBorders>
              <w:top w:val="single" w:sz="4" w:space="0" w:color="auto"/>
              <w:left w:val="nil"/>
              <w:bottom w:val="double" w:sz="6"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720 </w:t>
            </w:r>
          </w:p>
        </w:tc>
      </w:tr>
      <w:tr w:rsidR="003B632D" w:rsidRPr="006552E9" w:rsidTr="0087298E">
        <w:trPr>
          <w:trHeight w:val="227"/>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Cost</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Balance at 1 July 2011</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1,028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552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1,580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Additions</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68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30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213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311 </w:t>
            </w:r>
          </w:p>
        </w:tc>
      </w:tr>
      <w:tr w:rsidR="003B632D" w:rsidRPr="006552E9" w:rsidTr="003B632D">
        <w:trPr>
          <w:trHeight w:val="270"/>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Reclassification</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r>
      <w:tr w:rsidR="003B632D" w:rsidRPr="006552E9" w:rsidTr="003B632D">
        <w:trPr>
          <w:trHeight w:val="270"/>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Disposals</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(131)</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(131)</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Balance at 30 June 2012</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965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582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213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1,760 </w:t>
            </w:r>
          </w:p>
        </w:tc>
      </w:tr>
      <w:tr w:rsidR="003B632D" w:rsidRPr="006552E9" w:rsidTr="0087298E">
        <w:trPr>
          <w:trHeight w:val="227"/>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Accumulated amortisation</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r w:rsidRPr="006552E9">
              <w:rPr>
                <w:rFonts w:cs="Arial"/>
                <w:sz w:val="20"/>
                <w:szCs w:val="20"/>
              </w:rPr>
              <w:t>Balance at 1 July 2011</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795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293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1,088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Amortisation expense</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100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143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243 </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ind w:left="170"/>
              <w:jc w:val="left"/>
              <w:rPr>
                <w:rFonts w:cs="Arial"/>
                <w:sz w:val="20"/>
                <w:szCs w:val="20"/>
              </w:rPr>
            </w:pPr>
            <w:r w:rsidRPr="006552E9">
              <w:rPr>
                <w:rFonts w:cs="Arial"/>
                <w:sz w:val="20"/>
                <w:szCs w:val="20"/>
              </w:rPr>
              <w:t>Eliminated on disposal/reclassification</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(129)</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3B632D"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r w:rsidRPr="006552E9">
              <w:rPr>
                <w:rFonts w:cs="Arial"/>
                <w:sz w:val="20"/>
                <w:szCs w:val="20"/>
              </w:rPr>
              <w:t xml:space="preserve"> (129)</w:t>
            </w:r>
          </w:p>
        </w:tc>
      </w:tr>
      <w:tr w:rsidR="003B632D" w:rsidRPr="006552E9" w:rsidTr="003B632D">
        <w:trPr>
          <w:trHeight w:val="255"/>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Balance at 30 June 2012</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766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436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C02722" w:rsidP="0087298E">
            <w:pPr>
              <w:spacing w:before="0"/>
              <w:jc w:val="right"/>
              <w:rPr>
                <w:rFonts w:cs="Arial"/>
                <w:b/>
                <w:bCs/>
                <w:sz w:val="20"/>
                <w:szCs w:val="20"/>
              </w:rPr>
            </w:pPr>
            <w:r>
              <w:rPr>
                <w:rFonts w:cs="Arial"/>
                <w:b/>
                <w:bCs/>
                <w:sz w:val="20"/>
                <w:szCs w:val="20"/>
              </w:rPr>
              <w:t xml:space="preserve"> </w:t>
            </w:r>
            <w:r w:rsidR="002E460F">
              <w:rPr>
                <w:rFonts w:cs="Arial"/>
                <w:b/>
                <w:bCs/>
                <w:sz w:val="20"/>
                <w:szCs w:val="20"/>
              </w:rPr>
              <w:t>–</w:t>
            </w:r>
            <w:r w:rsidR="003B632D" w:rsidRPr="006552E9">
              <w:rPr>
                <w:rFonts w:cs="Arial"/>
                <w:b/>
                <w:bCs/>
                <w:sz w:val="20"/>
                <w:szCs w:val="20"/>
              </w:rPr>
              <w:t xml:space="preserve">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1,202 </w:t>
            </w:r>
          </w:p>
        </w:tc>
      </w:tr>
      <w:tr w:rsidR="003B632D" w:rsidRPr="006552E9" w:rsidTr="0087298E">
        <w:trPr>
          <w:trHeight w:val="227"/>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3B632D" w:rsidRPr="006552E9" w:rsidRDefault="003B632D" w:rsidP="0087298E">
            <w:pPr>
              <w:spacing w:before="0"/>
              <w:jc w:val="right"/>
              <w:rPr>
                <w:rFonts w:cs="Arial"/>
                <w:sz w:val="20"/>
                <w:szCs w:val="20"/>
              </w:rPr>
            </w:pPr>
          </w:p>
        </w:tc>
      </w:tr>
      <w:tr w:rsidR="003B632D" w:rsidRPr="006552E9" w:rsidTr="003B632D">
        <w:trPr>
          <w:trHeight w:val="270"/>
        </w:trPr>
        <w:tc>
          <w:tcPr>
            <w:tcW w:w="4693" w:type="dxa"/>
            <w:tcBorders>
              <w:top w:val="nil"/>
              <w:left w:val="nil"/>
              <w:bottom w:val="nil"/>
              <w:right w:val="nil"/>
            </w:tcBorders>
            <w:shd w:val="clear" w:color="auto" w:fill="auto"/>
            <w:noWrap/>
            <w:vAlign w:val="bottom"/>
            <w:hideMark/>
          </w:tcPr>
          <w:p w:rsidR="003B632D" w:rsidRPr="006552E9" w:rsidRDefault="003B632D" w:rsidP="003B632D">
            <w:pPr>
              <w:spacing w:before="0"/>
              <w:jc w:val="left"/>
              <w:rPr>
                <w:rFonts w:cs="Arial"/>
                <w:b/>
                <w:bCs/>
                <w:sz w:val="20"/>
                <w:szCs w:val="20"/>
              </w:rPr>
            </w:pPr>
            <w:r w:rsidRPr="006552E9">
              <w:rPr>
                <w:rFonts w:cs="Arial"/>
                <w:b/>
                <w:bCs/>
                <w:sz w:val="20"/>
                <w:szCs w:val="20"/>
              </w:rPr>
              <w:t>Carrying amount at 30 June 2012</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199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146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213 </w:t>
            </w:r>
          </w:p>
        </w:tc>
        <w:tc>
          <w:tcPr>
            <w:tcW w:w="1134" w:type="dxa"/>
            <w:tcBorders>
              <w:top w:val="single" w:sz="4" w:space="0" w:color="auto"/>
              <w:left w:val="nil"/>
              <w:bottom w:val="single" w:sz="4" w:space="0" w:color="auto"/>
              <w:right w:val="nil"/>
            </w:tcBorders>
            <w:shd w:val="clear" w:color="auto" w:fill="auto"/>
            <w:noWrap/>
            <w:vAlign w:val="bottom"/>
            <w:hideMark/>
          </w:tcPr>
          <w:p w:rsidR="003B632D" w:rsidRPr="006552E9" w:rsidRDefault="003B632D" w:rsidP="0087298E">
            <w:pPr>
              <w:spacing w:before="0"/>
              <w:jc w:val="right"/>
              <w:rPr>
                <w:rFonts w:cs="Arial"/>
                <w:b/>
                <w:bCs/>
                <w:sz w:val="20"/>
                <w:szCs w:val="20"/>
              </w:rPr>
            </w:pPr>
            <w:r w:rsidRPr="006552E9">
              <w:rPr>
                <w:rFonts w:cs="Arial"/>
                <w:b/>
                <w:bCs/>
                <w:sz w:val="20"/>
                <w:szCs w:val="20"/>
              </w:rPr>
              <w:t xml:space="preserve"> 558 </w:t>
            </w:r>
          </w:p>
        </w:tc>
      </w:tr>
    </w:tbl>
    <w:p w:rsidR="00C96140" w:rsidRPr="006552E9" w:rsidRDefault="003B632D" w:rsidP="00C96140">
      <w:r w:rsidRPr="006552E9">
        <w:t>The work in progress balance of $505,000 (2012: $198,000) relates to the build of the Pivotal</w:t>
      </w:r>
      <w:r w:rsidR="00C02722">
        <w:t xml:space="preserve"> </w:t>
      </w:r>
      <w:r w:rsidR="002E460F">
        <w:t>–</w:t>
      </w:r>
      <w:r w:rsidRPr="006552E9">
        <w:t xml:space="preserve"> Grant Management (GMS) and Customer Relationship Management (CRM) solution.</w:t>
      </w:r>
    </w:p>
    <w:p w:rsidR="003B632D" w:rsidRPr="006552E9" w:rsidRDefault="00804968" w:rsidP="00E22C83">
      <w:pPr>
        <w:pStyle w:val="Style1"/>
      </w:pPr>
      <w:r w:rsidRPr="006552E9">
        <w:t>18.</w:t>
      </w:r>
      <w:r w:rsidRPr="006552E9">
        <w:tab/>
        <w:t>Creditors and other payables</w:t>
      </w:r>
    </w:p>
    <w:p w:rsidR="0087298E" w:rsidRPr="006552E9" w:rsidRDefault="0087298E" w:rsidP="0087298E">
      <w:pPr>
        <w:pStyle w:val="Tabletext"/>
      </w:pPr>
    </w:p>
    <w:tbl>
      <w:tblPr>
        <w:tblW w:w="9183" w:type="dxa"/>
        <w:tblInd w:w="93" w:type="dxa"/>
        <w:tblLook w:val="04A0" w:firstRow="1" w:lastRow="0" w:firstColumn="1" w:lastColumn="0" w:noHBand="0" w:noVBand="1"/>
      </w:tblPr>
      <w:tblGrid>
        <w:gridCol w:w="6111"/>
        <w:gridCol w:w="772"/>
        <w:gridCol w:w="1180"/>
        <w:gridCol w:w="1120"/>
      </w:tblGrid>
      <w:tr w:rsidR="00804968" w:rsidRPr="006552E9" w:rsidTr="00FF4EBE">
        <w:trPr>
          <w:trHeight w:val="255"/>
        </w:trPr>
        <w:tc>
          <w:tcPr>
            <w:tcW w:w="6111"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804968" w:rsidRPr="006552E9" w:rsidRDefault="00804968" w:rsidP="00FF4EBE">
            <w:pPr>
              <w:spacing w:before="0"/>
              <w:jc w:val="center"/>
              <w:rPr>
                <w:rFonts w:cs="Arial"/>
                <w:b/>
                <w:bCs/>
                <w:sz w:val="20"/>
                <w:szCs w:val="20"/>
              </w:rPr>
            </w:pPr>
          </w:p>
        </w:tc>
        <w:tc>
          <w:tcPr>
            <w:tcW w:w="1180" w:type="dxa"/>
            <w:tcBorders>
              <w:top w:val="nil"/>
              <w:left w:val="nil"/>
              <w:bottom w:val="nil"/>
              <w:right w:val="nil"/>
            </w:tcBorders>
            <w:shd w:val="clear" w:color="auto" w:fill="auto"/>
            <w:noWrap/>
            <w:vAlign w:val="bottom"/>
            <w:hideMark/>
          </w:tcPr>
          <w:p w:rsidR="00804968" w:rsidRPr="006552E9" w:rsidRDefault="00804968" w:rsidP="00FF4EBE">
            <w:pPr>
              <w:spacing w:before="0"/>
              <w:jc w:val="right"/>
              <w:rPr>
                <w:rFonts w:cs="Arial"/>
                <w:b/>
                <w:bCs/>
                <w:sz w:val="20"/>
                <w:szCs w:val="20"/>
              </w:rPr>
            </w:pPr>
            <w:r w:rsidRPr="006552E9">
              <w:rPr>
                <w:rFonts w:cs="Arial"/>
                <w:b/>
                <w:bCs/>
                <w:sz w:val="20"/>
                <w:szCs w:val="20"/>
              </w:rPr>
              <w:t xml:space="preserve"> 2013 </w:t>
            </w:r>
          </w:p>
        </w:tc>
        <w:tc>
          <w:tcPr>
            <w:tcW w:w="1120" w:type="dxa"/>
            <w:tcBorders>
              <w:top w:val="nil"/>
              <w:left w:val="nil"/>
              <w:bottom w:val="nil"/>
              <w:right w:val="nil"/>
            </w:tcBorders>
            <w:shd w:val="clear" w:color="auto" w:fill="auto"/>
            <w:noWrap/>
            <w:vAlign w:val="bottom"/>
            <w:hideMark/>
          </w:tcPr>
          <w:p w:rsidR="00804968" w:rsidRPr="006552E9" w:rsidRDefault="00804968" w:rsidP="00FF4EBE">
            <w:pPr>
              <w:spacing w:before="0"/>
              <w:jc w:val="right"/>
              <w:rPr>
                <w:rFonts w:cs="Arial"/>
                <w:b/>
                <w:bCs/>
                <w:sz w:val="20"/>
                <w:szCs w:val="20"/>
              </w:rPr>
            </w:pPr>
            <w:r w:rsidRPr="006552E9">
              <w:rPr>
                <w:rFonts w:cs="Arial"/>
                <w:b/>
                <w:bCs/>
                <w:sz w:val="20"/>
                <w:szCs w:val="20"/>
              </w:rPr>
              <w:t xml:space="preserve"> 2012 </w:t>
            </w:r>
          </w:p>
        </w:tc>
      </w:tr>
      <w:tr w:rsidR="00804968" w:rsidRPr="006552E9" w:rsidTr="00FF4EBE">
        <w:trPr>
          <w:trHeight w:val="255"/>
        </w:trPr>
        <w:tc>
          <w:tcPr>
            <w:tcW w:w="6111" w:type="dxa"/>
            <w:tcBorders>
              <w:top w:val="nil"/>
              <w:left w:val="nil"/>
              <w:bottom w:val="single" w:sz="4" w:space="0" w:color="auto"/>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w:t>
            </w:r>
          </w:p>
        </w:tc>
        <w:tc>
          <w:tcPr>
            <w:tcW w:w="772" w:type="dxa"/>
            <w:tcBorders>
              <w:top w:val="nil"/>
              <w:left w:val="nil"/>
              <w:bottom w:val="single" w:sz="4" w:space="0" w:color="auto"/>
              <w:right w:val="nil"/>
            </w:tcBorders>
            <w:shd w:val="clear" w:color="auto" w:fill="auto"/>
            <w:noWrap/>
            <w:vAlign w:val="bottom"/>
            <w:hideMark/>
          </w:tcPr>
          <w:p w:rsidR="00804968" w:rsidRPr="006552E9" w:rsidRDefault="00804968" w:rsidP="00FF4EBE">
            <w:pPr>
              <w:spacing w:before="0"/>
              <w:jc w:val="center"/>
              <w:rPr>
                <w:rFonts w:cs="Arial"/>
                <w:b/>
                <w:bCs/>
                <w:sz w:val="20"/>
                <w:szCs w:val="20"/>
              </w:rPr>
            </w:pPr>
            <w:r w:rsidRPr="006552E9">
              <w:rPr>
                <w:rFonts w:cs="Arial"/>
                <w:b/>
                <w:bCs/>
                <w:sz w:val="20"/>
                <w:szCs w:val="20"/>
              </w:rPr>
              <w:t>NOTE</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FF4EBE">
            <w:pPr>
              <w:spacing w:before="0"/>
              <w:jc w:val="right"/>
              <w:rPr>
                <w:rFonts w:cs="Arial"/>
                <w:b/>
                <w:bCs/>
                <w:sz w:val="20"/>
                <w:szCs w:val="20"/>
              </w:rPr>
            </w:pPr>
            <w:r w:rsidRPr="006552E9">
              <w:rPr>
                <w:rFonts w:cs="Arial"/>
                <w:b/>
                <w:bCs/>
                <w:sz w:val="20"/>
                <w:szCs w:val="20"/>
              </w:rPr>
              <w:t xml:space="preserve"> $000 </w:t>
            </w:r>
          </w:p>
        </w:tc>
        <w:tc>
          <w:tcPr>
            <w:tcW w:w="1120" w:type="dxa"/>
            <w:tcBorders>
              <w:top w:val="nil"/>
              <w:left w:val="nil"/>
              <w:bottom w:val="single" w:sz="4" w:space="0" w:color="auto"/>
              <w:right w:val="nil"/>
            </w:tcBorders>
            <w:shd w:val="clear" w:color="auto" w:fill="auto"/>
            <w:noWrap/>
            <w:vAlign w:val="bottom"/>
            <w:hideMark/>
          </w:tcPr>
          <w:p w:rsidR="00804968" w:rsidRPr="006552E9" w:rsidRDefault="00804968" w:rsidP="00FF4EBE">
            <w:pPr>
              <w:spacing w:before="0"/>
              <w:jc w:val="right"/>
              <w:rPr>
                <w:rFonts w:cs="Arial"/>
                <w:b/>
                <w:bCs/>
                <w:sz w:val="20"/>
                <w:szCs w:val="20"/>
              </w:rPr>
            </w:pPr>
            <w:r w:rsidRPr="006552E9">
              <w:rPr>
                <w:rFonts w:cs="Arial"/>
                <w:b/>
                <w:bCs/>
                <w:sz w:val="20"/>
                <w:szCs w:val="20"/>
              </w:rPr>
              <w:t xml:space="preserve"> $000 </w:t>
            </w:r>
          </w:p>
        </w:tc>
      </w:tr>
      <w:tr w:rsidR="00804968" w:rsidRPr="006552E9" w:rsidTr="00FF4EBE">
        <w:trPr>
          <w:trHeight w:val="255"/>
        </w:trPr>
        <w:tc>
          <w:tcPr>
            <w:tcW w:w="6111"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Trade payables </w:t>
            </w:r>
          </w:p>
        </w:tc>
        <w:tc>
          <w:tcPr>
            <w:tcW w:w="772" w:type="dxa"/>
            <w:tcBorders>
              <w:top w:val="nil"/>
              <w:left w:val="nil"/>
              <w:bottom w:val="nil"/>
              <w:right w:val="nil"/>
            </w:tcBorders>
            <w:shd w:val="clear" w:color="auto" w:fill="auto"/>
            <w:noWrap/>
            <w:vAlign w:val="bottom"/>
            <w:hideMark/>
          </w:tcPr>
          <w:p w:rsidR="00804968" w:rsidRPr="006552E9" w:rsidRDefault="00804968" w:rsidP="00FF4EBE">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409 </w:t>
            </w:r>
          </w:p>
        </w:tc>
        <w:tc>
          <w:tcPr>
            <w:tcW w:w="112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1,053 </w:t>
            </w:r>
          </w:p>
        </w:tc>
      </w:tr>
      <w:tr w:rsidR="00804968" w:rsidRPr="006552E9" w:rsidTr="00FF4EBE">
        <w:trPr>
          <w:trHeight w:val="255"/>
        </w:trPr>
        <w:tc>
          <w:tcPr>
            <w:tcW w:w="6111"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Accrued expenses </w:t>
            </w:r>
          </w:p>
        </w:tc>
        <w:tc>
          <w:tcPr>
            <w:tcW w:w="772" w:type="dxa"/>
            <w:tcBorders>
              <w:top w:val="nil"/>
              <w:left w:val="nil"/>
              <w:bottom w:val="nil"/>
              <w:right w:val="nil"/>
            </w:tcBorders>
            <w:shd w:val="clear" w:color="auto" w:fill="auto"/>
            <w:noWrap/>
            <w:vAlign w:val="bottom"/>
            <w:hideMark/>
          </w:tcPr>
          <w:p w:rsidR="00804968" w:rsidRPr="006552E9" w:rsidRDefault="00804968" w:rsidP="00FF4EBE">
            <w:pPr>
              <w:spacing w:before="0"/>
              <w:jc w:val="center"/>
              <w:rPr>
                <w:rFonts w:cs="Arial"/>
                <w:sz w:val="20"/>
                <w:szCs w:val="20"/>
              </w:rPr>
            </w:pPr>
          </w:p>
        </w:tc>
        <w:tc>
          <w:tcPr>
            <w:tcW w:w="118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139 </w:t>
            </w:r>
          </w:p>
        </w:tc>
        <w:tc>
          <w:tcPr>
            <w:tcW w:w="112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151 </w:t>
            </w:r>
          </w:p>
        </w:tc>
      </w:tr>
      <w:tr w:rsidR="00804968" w:rsidRPr="006552E9" w:rsidTr="00FF4EBE">
        <w:trPr>
          <w:trHeight w:val="255"/>
        </w:trPr>
        <w:tc>
          <w:tcPr>
            <w:tcW w:w="6111"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Special purpose funds </w:t>
            </w:r>
          </w:p>
        </w:tc>
        <w:tc>
          <w:tcPr>
            <w:tcW w:w="772" w:type="dxa"/>
            <w:tcBorders>
              <w:top w:val="nil"/>
              <w:left w:val="nil"/>
              <w:bottom w:val="nil"/>
              <w:right w:val="nil"/>
            </w:tcBorders>
            <w:shd w:val="clear" w:color="auto" w:fill="auto"/>
            <w:noWrap/>
            <w:vAlign w:val="bottom"/>
            <w:hideMark/>
          </w:tcPr>
          <w:p w:rsidR="00804968" w:rsidRPr="006552E9" w:rsidRDefault="00804968" w:rsidP="00FF4EBE">
            <w:pPr>
              <w:spacing w:before="0"/>
              <w:jc w:val="center"/>
              <w:rPr>
                <w:rFonts w:cs="Arial"/>
                <w:sz w:val="20"/>
                <w:szCs w:val="20"/>
              </w:rPr>
            </w:pPr>
            <w:r w:rsidRPr="006552E9">
              <w:rPr>
                <w:rFonts w:cs="Arial"/>
                <w:sz w:val="20"/>
                <w:szCs w:val="20"/>
              </w:rPr>
              <w:t>19</w:t>
            </w:r>
          </w:p>
        </w:tc>
        <w:tc>
          <w:tcPr>
            <w:tcW w:w="118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901 </w:t>
            </w:r>
          </w:p>
        </w:tc>
        <w:tc>
          <w:tcPr>
            <w:tcW w:w="1120" w:type="dxa"/>
            <w:tcBorders>
              <w:top w:val="nil"/>
              <w:left w:val="nil"/>
              <w:bottom w:val="nil"/>
              <w:right w:val="nil"/>
            </w:tcBorders>
            <w:shd w:val="clear" w:color="auto" w:fill="auto"/>
            <w:noWrap/>
            <w:vAlign w:val="bottom"/>
            <w:hideMark/>
          </w:tcPr>
          <w:p w:rsidR="00804968" w:rsidRPr="006552E9" w:rsidRDefault="00FF4EBE" w:rsidP="00FF4EB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790 </w:t>
            </w:r>
          </w:p>
        </w:tc>
      </w:tr>
      <w:tr w:rsidR="00804968" w:rsidRPr="006552E9" w:rsidTr="00FF4EBE">
        <w:trPr>
          <w:trHeight w:val="255"/>
        </w:trPr>
        <w:tc>
          <w:tcPr>
            <w:tcW w:w="6111"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804968" w:rsidRPr="006552E9" w:rsidRDefault="00804968" w:rsidP="00FF4EBE">
            <w:pPr>
              <w:spacing w:before="0"/>
              <w:jc w:val="center"/>
              <w:rPr>
                <w:rFonts w:cs="Arial"/>
                <w:b/>
                <w:bCs/>
                <w:sz w:val="20"/>
                <w:szCs w:val="20"/>
              </w:rPr>
            </w:pPr>
          </w:p>
        </w:tc>
        <w:tc>
          <w:tcPr>
            <w:tcW w:w="118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FF4EB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1,449 </w:t>
            </w:r>
          </w:p>
        </w:tc>
        <w:tc>
          <w:tcPr>
            <w:tcW w:w="112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FF4EB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1,994 </w:t>
            </w:r>
          </w:p>
        </w:tc>
      </w:tr>
    </w:tbl>
    <w:p w:rsidR="00804968" w:rsidRDefault="00804968" w:rsidP="00C96140">
      <w:r w:rsidRPr="006552E9">
        <w:t>Creditors and other payables are non-interest bearing and are normally settled on 30-day terms; therefore, the carrying value of creditors and other payables approximates their fair value.</w:t>
      </w:r>
    </w:p>
    <w:p w:rsidR="00192948" w:rsidRPr="006552E9" w:rsidRDefault="00756F9B" w:rsidP="00C96140">
      <w:r>
        <w:t xml:space="preserve">Creative New Zealand has a bank credit card facility with BNZ of up to $150,000 (2012: $150,000) and with Westpac of up to $200,000 (2012: $nil). </w:t>
      </w:r>
      <w:r w:rsidR="00186401">
        <w:t xml:space="preserve">Of </w:t>
      </w:r>
      <w:r>
        <w:t xml:space="preserve">the total </w:t>
      </w:r>
      <w:r w:rsidR="00186401">
        <w:t xml:space="preserve">facility, $8,771 </w:t>
      </w:r>
      <w:r>
        <w:t>was used at 30 June 2013 (2012: $10,704)</w:t>
      </w:r>
      <w:r w:rsidR="00192948" w:rsidRPr="00192948">
        <w:t>.</w:t>
      </w:r>
    </w:p>
    <w:p w:rsidR="00804968" w:rsidRPr="006552E9" w:rsidRDefault="00804968" w:rsidP="00E22C83">
      <w:pPr>
        <w:pStyle w:val="Style1"/>
      </w:pPr>
      <w:r w:rsidRPr="006552E9">
        <w:t>19.</w:t>
      </w:r>
      <w:r w:rsidRPr="006552E9">
        <w:tab/>
        <w:t>Special purpose funds</w:t>
      </w:r>
    </w:p>
    <w:p w:rsidR="00804968" w:rsidRPr="006552E9" w:rsidRDefault="00804968" w:rsidP="00804968">
      <w:r w:rsidRPr="006552E9">
        <w:t>Included within creditors and other payables are the following amounts, which have been designated for special purposes.</w:t>
      </w:r>
    </w:p>
    <w:p w:rsidR="0087298E" w:rsidRPr="006552E9" w:rsidRDefault="0087298E" w:rsidP="0087298E">
      <w:pPr>
        <w:pStyle w:val="Tabletext"/>
      </w:pPr>
    </w:p>
    <w:tbl>
      <w:tblPr>
        <w:tblW w:w="9227" w:type="dxa"/>
        <w:tblInd w:w="93" w:type="dxa"/>
        <w:tblLook w:val="04A0" w:firstRow="1" w:lastRow="0" w:firstColumn="1" w:lastColumn="0" w:noHBand="0" w:noVBand="1"/>
      </w:tblPr>
      <w:tblGrid>
        <w:gridCol w:w="3559"/>
        <w:gridCol w:w="1417"/>
        <w:gridCol w:w="1417"/>
        <w:gridCol w:w="1417"/>
        <w:gridCol w:w="1417"/>
      </w:tblGrid>
      <w:tr w:rsidR="00FF4EBE" w:rsidRPr="006552E9" w:rsidTr="00186401">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Opening</w:t>
            </w:r>
            <w:r w:rsidR="0087298E" w:rsidRPr="006552E9">
              <w:rPr>
                <w:rFonts w:cs="Arial"/>
                <w:b/>
                <w:bCs/>
                <w:sz w:val="20"/>
                <w:szCs w:val="20"/>
              </w:rPr>
              <w:t xml:space="preserve"> </w:t>
            </w:r>
            <w:r w:rsidRPr="006552E9">
              <w:rPr>
                <w:rFonts w:cs="Arial"/>
                <w:b/>
                <w:bCs/>
                <w:sz w:val="20"/>
                <w:szCs w:val="20"/>
              </w:rPr>
              <w:t xml:space="preserve">balance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Third party income </w:t>
            </w:r>
          </w:p>
        </w:tc>
        <w:tc>
          <w:tcPr>
            <w:tcW w:w="1417" w:type="dxa"/>
            <w:tcBorders>
              <w:top w:val="nil"/>
              <w:left w:val="nil"/>
              <w:bottom w:val="nil"/>
              <w:right w:val="nil"/>
            </w:tcBorders>
            <w:shd w:val="clear" w:color="auto" w:fill="auto"/>
            <w:noWrap/>
            <w:hideMark/>
          </w:tcPr>
          <w:p w:rsidR="00FF4EBE" w:rsidRPr="006552E9" w:rsidRDefault="00FF4EBE" w:rsidP="00186401">
            <w:pPr>
              <w:spacing w:before="0"/>
              <w:jc w:val="right"/>
              <w:rPr>
                <w:rFonts w:cs="Arial"/>
                <w:b/>
                <w:bCs/>
                <w:sz w:val="20"/>
                <w:szCs w:val="20"/>
              </w:rPr>
            </w:pPr>
            <w:r w:rsidRPr="006552E9">
              <w:rPr>
                <w:rFonts w:cs="Arial"/>
                <w:b/>
                <w:bCs/>
                <w:sz w:val="20"/>
                <w:szCs w:val="20"/>
              </w:rPr>
              <w:t xml:space="preserve">Expenditure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Closing balance </w:t>
            </w:r>
          </w:p>
        </w:tc>
      </w:tr>
      <w:tr w:rsidR="00FF4EBE" w:rsidRPr="006552E9" w:rsidTr="00FF4EBE">
        <w:trPr>
          <w:trHeight w:val="255"/>
        </w:trPr>
        <w:tc>
          <w:tcPr>
            <w:tcW w:w="3559" w:type="dxa"/>
            <w:tcBorders>
              <w:top w:val="nil"/>
              <w:left w:val="nil"/>
              <w:bottom w:val="single" w:sz="4" w:space="0" w:color="auto"/>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b/>
                <w:bCs/>
                <w:sz w:val="20"/>
                <w:szCs w:val="20"/>
              </w:rPr>
              <w:t>2013</w:t>
            </w:r>
            <w:r w:rsidRPr="006552E9">
              <w:rPr>
                <w:rFonts w:cs="Arial"/>
                <w:sz w:val="20"/>
                <w:szCs w:val="20"/>
              </w:rPr>
              <w:t> </w:t>
            </w:r>
          </w:p>
        </w:tc>
        <w:tc>
          <w:tcPr>
            <w:tcW w:w="1417" w:type="dxa"/>
            <w:tcBorders>
              <w:top w:val="nil"/>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$000 </w:t>
            </w:r>
          </w:p>
        </w:tc>
        <w:tc>
          <w:tcPr>
            <w:tcW w:w="1417" w:type="dxa"/>
            <w:tcBorders>
              <w:top w:val="nil"/>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$000 </w:t>
            </w:r>
          </w:p>
        </w:tc>
        <w:tc>
          <w:tcPr>
            <w:tcW w:w="1417" w:type="dxa"/>
            <w:tcBorders>
              <w:top w:val="nil"/>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$000 </w:t>
            </w:r>
          </w:p>
        </w:tc>
        <w:tc>
          <w:tcPr>
            <w:tcW w:w="1417" w:type="dxa"/>
            <w:tcBorders>
              <w:top w:val="nil"/>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$000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Edwin Carr Foundation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428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204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632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Tup Lang bequest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75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75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Louis Johnson bequest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54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54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Butland Music Foundation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40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Old Public Trust Body Corporate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38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292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339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(9)</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Mataora </w:t>
            </w:r>
            <w:r w:rsidR="00186401" w:rsidRPr="006552E9">
              <w:rPr>
                <w:rFonts w:cs="Arial"/>
                <w:sz w:val="20"/>
                <w:szCs w:val="20"/>
              </w:rPr>
              <w:t xml:space="preserve">royalties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186401" w:rsidP="00804968">
            <w:pPr>
              <w:spacing w:before="0"/>
              <w:jc w:val="left"/>
              <w:rPr>
                <w:rFonts w:cs="Arial"/>
                <w:sz w:val="20"/>
                <w:szCs w:val="20"/>
              </w:rPr>
            </w:pPr>
            <w:r>
              <w:rPr>
                <w:rFonts w:cs="Arial"/>
                <w:sz w:val="20"/>
                <w:szCs w:val="20"/>
              </w:rPr>
              <w:t>T</w:t>
            </w:r>
            <w:r w:rsidR="00FF4EBE" w:rsidRPr="006552E9">
              <w:rPr>
                <w:rFonts w:cs="Arial"/>
                <w:sz w:val="20"/>
                <w:szCs w:val="20"/>
              </w:rPr>
              <w:t xml:space="preserve">he Todd Trust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10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Heartstrings Guitars </w:t>
            </w:r>
            <w:r w:rsidR="00186401" w:rsidRPr="006552E9">
              <w:rPr>
                <w:rFonts w:cs="Arial"/>
                <w:sz w:val="20"/>
                <w:szCs w:val="20"/>
              </w:rPr>
              <w:t xml:space="preserve">donation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91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50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43 </w:t>
            </w:r>
          </w:p>
        </w:tc>
      </w:tr>
      <w:tr w:rsidR="00FF4EBE" w:rsidRPr="006552E9" w:rsidTr="00FF4EBE">
        <w:trPr>
          <w:trHeight w:val="510"/>
        </w:trPr>
        <w:tc>
          <w:tcPr>
            <w:tcW w:w="3559" w:type="dxa"/>
            <w:tcBorders>
              <w:top w:val="nil"/>
              <w:left w:val="nil"/>
              <w:bottom w:val="nil"/>
              <w:right w:val="nil"/>
            </w:tcBorders>
            <w:shd w:val="clear" w:color="auto" w:fill="auto"/>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Christchurch Earthquake Support Fund </w:t>
            </w:r>
            <w:r w:rsidR="00186401" w:rsidRPr="006552E9">
              <w:rPr>
                <w:rFonts w:cs="Arial"/>
                <w:sz w:val="20"/>
                <w:szCs w:val="20"/>
              </w:rPr>
              <w:t xml:space="preserve">donation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60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62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b/>
                <w:bCs/>
                <w:sz w:val="20"/>
                <w:szCs w:val="20"/>
              </w:rPr>
            </w:pP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790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515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404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901 </w:t>
            </w:r>
          </w:p>
        </w:tc>
      </w:tr>
      <w:tr w:rsidR="00FF4EBE" w:rsidRPr="006552E9" w:rsidTr="00D20C35">
        <w:trPr>
          <w:trHeight w:val="255"/>
        </w:trPr>
        <w:tc>
          <w:tcPr>
            <w:tcW w:w="3559" w:type="dxa"/>
            <w:tcBorders>
              <w:top w:val="nil"/>
              <w:left w:val="nil"/>
              <w:bottom w:val="single" w:sz="4" w:space="0" w:color="auto"/>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w:t>
            </w:r>
            <w:r w:rsidRPr="006552E9">
              <w:rPr>
                <w:rFonts w:cs="Arial"/>
                <w:b/>
                <w:bCs/>
                <w:sz w:val="20"/>
                <w:szCs w:val="20"/>
              </w:rPr>
              <w:t>2012</w:t>
            </w:r>
          </w:p>
        </w:tc>
        <w:tc>
          <w:tcPr>
            <w:tcW w:w="1417" w:type="dxa"/>
            <w:tcBorders>
              <w:top w:val="nil"/>
              <w:left w:val="nil"/>
              <w:bottom w:val="single" w:sz="4" w:space="0" w:color="auto"/>
              <w:right w:val="nil"/>
            </w:tcBorders>
            <w:shd w:val="clear" w:color="auto" w:fill="auto"/>
            <w:noWrap/>
            <w:vAlign w:val="bottom"/>
          </w:tcPr>
          <w:p w:rsidR="00FF4EBE" w:rsidRPr="006552E9" w:rsidRDefault="00FF4EBE" w:rsidP="00FF4EBE">
            <w:pPr>
              <w:spacing w:before="0"/>
              <w:jc w:val="right"/>
              <w:rPr>
                <w:rFonts w:cs="Arial"/>
                <w:b/>
                <w:bCs/>
                <w:sz w:val="20"/>
                <w:szCs w:val="20"/>
              </w:rPr>
            </w:pPr>
          </w:p>
        </w:tc>
        <w:tc>
          <w:tcPr>
            <w:tcW w:w="1417" w:type="dxa"/>
            <w:tcBorders>
              <w:top w:val="nil"/>
              <w:left w:val="nil"/>
              <w:bottom w:val="single" w:sz="4" w:space="0" w:color="auto"/>
              <w:right w:val="nil"/>
            </w:tcBorders>
            <w:shd w:val="clear" w:color="auto" w:fill="auto"/>
            <w:noWrap/>
            <w:vAlign w:val="bottom"/>
          </w:tcPr>
          <w:p w:rsidR="00FF4EBE" w:rsidRPr="006552E9" w:rsidRDefault="00FF4EBE" w:rsidP="00FF4EBE">
            <w:pPr>
              <w:spacing w:before="0"/>
              <w:jc w:val="right"/>
              <w:rPr>
                <w:rFonts w:cs="Arial"/>
                <w:b/>
                <w:bCs/>
                <w:sz w:val="20"/>
                <w:szCs w:val="20"/>
              </w:rPr>
            </w:pPr>
          </w:p>
        </w:tc>
        <w:tc>
          <w:tcPr>
            <w:tcW w:w="1417" w:type="dxa"/>
            <w:tcBorders>
              <w:top w:val="nil"/>
              <w:left w:val="nil"/>
              <w:bottom w:val="single" w:sz="4" w:space="0" w:color="auto"/>
              <w:right w:val="nil"/>
            </w:tcBorders>
            <w:shd w:val="clear" w:color="auto" w:fill="auto"/>
            <w:noWrap/>
            <w:vAlign w:val="bottom"/>
          </w:tcPr>
          <w:p w:rsidR="00FF4EBE" w:rsidRPr="006552E9" w:rsidRDefault="00FF4EBE" w:rsidP="00FF4EBE">
            <w:pPr>
              <w:spacing w:before="0"/>
              <w:jc w:val="right"/>
              <w:rPr>
                <w:rFonts w:cs="Arial"/>
                <w:b/>
                <w:bCs/>
                <w:sz w:val="20"/>
                <w:szCs w:val="20"/>
              </w:rPr>
            </w:pPr>
          </w:p>
        </w:tc>
        <w:tc>
          <w:tcPr>
            <w:tcW w:w="1417" w:type="dxa"/>
            <w:tcBorders>
              <w:top w:val="nil"/>
              <w:left w:val="nil"/>
              <w:bottom w:val="single" w:sz="4" w:space="0" w:color="auto"/>
              <w:right w:val="nil"/>
            </w:tcBorders>
            <w:shd w:val="clear" w:color="auto" w:fill="auto"/>
            <w:noWrap/>
            <w:vAlign w:val="bottom"/>
          </w:tcPr>
          <w:p w:rsidR="00FF4EBE" w:rsidRPr="006552E9" w:rsidRDefault="00FF4EBE" w:rsidP="00FF4EBE">
            <w:pPr>
              <w:spacing w:before="0"/>
              <w:jc w:val="right"/>
              <w:rPr>
                <w:rFonts w:cs="Arial"/>
                <w:b/>
                <w:bCs/>
                <w:sz w:val="20"/>
                <w:szCs w:val="20"/>
              </w:rPr>
            </w:pP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Edwin Carr Foundation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424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14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428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Tup Lang bequest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76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3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75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Louis Johnson bequest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54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54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Butland Music Foundation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39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40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Old Public Trust Body Corporate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22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266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250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38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Mataora </w:t>
            </w:r>
            <w:r w:rsidR="00186401" w:rsidRPr="006552E9">
              <w:rPr>
                <w:rFonts w:cs="Arial"/>
                <w:sz w:val="20"/>
                <w:szCs w:val="20"/>
              </w:rPr>
              <w:t xml:space="preserve">royalties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4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The Todd Trust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10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10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Heartstrings Guitars </w:t>
            </w:r>
            <w:r w:rsidR="00186401" w:rsidRPr="006552E9">
              <w:rPr>
                <w:rFonts w:cs="Arial"/>
                <w:sz w:val="20"/>
                <w:szCs w:val="20"/>
              </w:rPr>
              <w:t xml:space="preserve">donation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91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91 </w:t>
            </w:r>
          </w:p>
        </w:tc>
      </w:tr>
      <w:tr w:rsidR="00FF4EBE" w:rsidRPr="006552E9" w:rsidTr="00FF4EBE">
        <w:trPr>
          <w:trHeight w:val="510"/>
        </w:trPr>
        <w:tc>
          <w:tcPr>
            <w:tcW w:w="3559" w:type="dxa"/>
            <w:tcBorders>
              <w:top w:val="nil"/>
              <w:left w:val="nil"/>
              <w:bottom w:val="nil"/>
              <w:right w:val="nil"/>
            </w:tcBorders>
            <w:shd w:val="clear" w:color="auto" w:fill="auto"/>
            <w:vAlign w:val="bottom"/>
            <w:hideMark/>
          </w:tcPr>
          <w:p w:rsidR="00FF4EBE" w:rsidRPr="006552E9" w:rsidRDefault="00FF4EBE" w:rsidP="00804968">
            <w:pPr>
              <w:spacing w:before="0"/>
              <w:jc w:val="left"/>
              <w:rPr>
                <w:rFonts w:cs="Arial"/>
                <w:sz w:val="20"/>
                <w:szCs w:val="20"/>
              </w:rPr>
            </w:pPr>
            <w:r w:rsidRPr="006552E9">
              <w:rPr>
                <w:rFonts w:cs="Arial"/>
                <w:sz w:val="20"/>
                <w:szCs w:val="20"/>
              </w:rPr>
              <w:t xml:space="preserve">Christchurch Earthquake Support Fund </w:t>
            </w:r>
            <w:r w:rsidR="00186401" w:rsidRPr="006552E9">
              <w:rPr>
                <w:rFonts w:cs="Arial"/>
                <w:sz w:val="20"/>
                <w:szCs w:val="20"/>
              </w:rPr>
              <w:t xml:space="preserve">donation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60 </w:t>
            </w:r>
          </w:p>
        </w:tc>
        <w:tc>
          <w:tcPr>
            <w:tcW w:w="1417" w:type="dxa"/>
            <w:tcBorders>
              <w:top w:val="nil"/>
              <w:left w:val="nil"/>
              <w:bottom w:val="nil"/>
              <w:right w:val="nil"/>
            </w:tcBorders>
            <w:shd w:val="clear" w:color="auto" w:fill="auto"/>
            <w:noWrap/>
            <w:vAlign w:val="bottom"/>
            <w:hideMark/>
          </w:tcPr>
          <w:p w:rsidR="00FF4EBE" w:rsidRPr="006552E9" w:rsidRDefault="00C02722" w:rsidP="00FF4EB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417" w:type="dxa"/>
            <w:tcBorders>
              <w:top w:val="nil"/>
              <w:left w:val="nil"/>
              <w:bottom w:val="nil"/>
              <w:right w:val="nil"/>
            </w:tcBorders>
            <w:shd w:val="clear" w:color="auto" w:fill="auto"/>
            <w:noWrap/>
            <w:vAlign w:val="bottom"/>
            <w:hideMark/>
          </w:tcPr>
          <w:p w:rsidR="00FF4EBE" w:rsidRPr="006552E9" w:rsidRDefault="00FF4EBE" w:rsidP="00FF4EBE">
            <w:pPr>
              <w:spacing w:before="0"/>
              <w:jc w:val="right"/>
              <w:rPr>
                <w:rFonts w:cs="Arial"/>
                <w:sz w:val="20"/>
                <w:szCs w:val="20"/>
              </w:rPr>
            </w:pPr>
            <w:r w:rsidRPr="006552E9">
              <w:rPr>
                <w:rFonts w:cs="Arial"/>
                <w:sz w:val="20"/>
                <w:szCs w:val="20"/>
              </w:rPr>
              <w:t xml:space="preserve"> 60 </w:t>
            </w:r>
          </w:p>
        </w:tc>
      </w:tr>
      <w:tr w:rsidR="00FF4EBE" w:rsidRPr="006552E9" w:rsidTr="00FF4EBE">
        <w:trPr>
          <w:trHeight w:val="255"/>
        </w:trPr>
        <w:tc>
          <w:tcPr>
            <w:tcW w:w="3559" w:type="dxa"/>
            <w:tcBorders>
              <w:top w:val="nil"/>
              <w:left w:val="nil"/>
              <w:bottom w:val="nil"/>
              <w:right w:val="nil"/>
            </w:tcBorders>
            <w:shd w:val="clear" w:color="auto" w:fill="auto"/>
            <w:noWrap/>
            <w:vAlign w:val="bottom"/>
            <w:hideMark/>
          </w:tcPr>
          <w:p w:rsidR="00FF4EBE" w:rsidRPr="006552E9" w:rsidRDefault="00FF4EBE" w:rsidP="00804968">
            <w:pPr>
              <w:spacing w:before="0"/>
              <w:jc w:val="left"/>
              <w:rPr>
                <w:rFonts w:cs="Arial"/>
                <w:b/>
                <w:bCs/>
                <w:sz w:val="20"/>
                <w:szCs w:val="20"/>
              </w:rPr>
            </w:pP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619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446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275 </w:t>
            </w:r>
          </w:p>
        </w:tc>
        <w:tc>
          <w:tcPr>
            <w:tcW w:w="1417" w:type="dxa"/>
            <w:tcBorders>
              <w:top w:val="single" w:sz="4" w:space="0" w:color="auto"/>
              <w:left w:val="nil"/>
              <w:bottom w:val="single" w:sz="4" w:space="0" w:color="auto"/>
              <w:right w:val="nil"/>
            </w:tcBorders>
            <w:shd w:val="clear" w:color="auto" w:fill="auto"/>
            <w:noWrap/>
            <w:vAlign w:val="bottom"/>
            <w:hideMark/>
          </w:tcPr>
          <w:p w:rsidR="00FF4EBE" w:rsidRPr="006552E9" w:rsidRDefault="00FF4EBE" w:rsidP="00FF4EBE">
            <w:pPr>
              <w:spacing w:before="0"/>
              <w:jc w:val="right"/>
              <w:rPr>
                <w:rFonts w:cs="Arial"/>
                <w:b/>
                <w:bCs/>
                <w:sz w:val="20"/>
                <w:szCs w:val="20"/>
              </w:rPr>
            </w:pPr>
            <w:r w:rsidRPr="006552E9">
              <w:rPr>
                <w:rFonts w:cs="Arial"/>
                <w:b/>
                <w:bCs/>
                <w:sz w:val="20"/>
                <w:szCs w:val="20"/>
              </w:rPr>
              <w:t xml:space="preserve"> 790 </w:t>
            </w:r>
          </w:p>
        </w:tc>
      </w:tr>
    </w:tbl>
    <w:p w:rsidR="00804968" w:rsidRPr="006552E9" w:rsidRDefault="00804968" w:rsidP="0087298E">
      <w:pPr>
        <w:pStyle w:val="Bullet"/>
        <w:spacing w:before="240"/>
        <w:ind w:left="510" w:hanging="510"/>
      </w:pPr>
      <w:r w:rsidRPr="006552E9">
        <w:t>The Edwin Carr Foundation was set up during 2004/05. Creative New Zealand administers the foundation and its associated scholarships.</w:t>
      </w:r>
    </w:p>
    <w:p w:rsidR="00804968" w:rsidRPr="006552E9" w:rsidRDefault="00804968" w:rsidP="00804968">
      <w:pPr>
        <w:pStyle w:val="Bullet"/>
      </w:pPr>
      <w:r w:rsidRPr="006552E9">
        <w:t>The Tup Lang bequest is held in trust and the income is given towards a grant for research and choreographic development of a new work.</w:t>
      </w:r>
    </w:p>
    <w:p w:rsidR="00804968" w:rsidRPr="006552E9" w:rsidRDefault="00804968" w:rsidP="00804968">
      <w:pPr>
        <w:pStyle w:val="Bullet"/>
      </w:pPr>
      <w:r w:rsidRPr="006552E9">
        <w:t>The Louis Johnson bequest is held in trust and the income is given towards financing the Louis Johnson Writers’ Bursary.</w:t>
      </w:r>
    </w:p>
    <w:p w:rsidR="00804968" w:rsidRPr="006552E9" w:rsidRDefault="00804968" w:rsidP="00804968">
      <w:pPr>
        <w:pStyle w:val="Bullet"/>
      </w:pPr>
      <w:r w:rsidRPr="006552E9">
        <w:t>The Butland Music Foundation appointed the Arts Council as its trustees in 1994. Income from trust funds is given towards a grant to a music student to help and encourage studies within or beyond New Zealand.</w:t>
      </w:r>
    </w:p>
    <w:p w:rsidR="00804968" w:rsidRPr="006552E9" w:rsidRDefault="00804968" w:rsidP="00804968">
      <w:pPr>
        <w:pStyle w:val="Bullet"/>
      </w:pPr>
      <w:r w:rsidRPr="006552E9">
        <w:t>The Old Public Trust Body Corporate owns the Wellington premises occupied by Creative New Zealand.</w:t>
      </w:r>
    </w:p>
    <w:p w:rsidR="00804968" w:rsidRPr="006552E9" w:rsidRDefault="00804968" w:rsidP="00804968">
      <w:pPr>
        <w:pStyle w:val="Bullet"/>
      </w:pPr>
      <w:r w:rsidRPr="006552E9">
        <w:t>The Mataora royalties are received for a book funded by Te Waka Toi. These royalties will go back to Te Waka Toi via its funding and granting decisions.</w:t>
      </w:r>
    </w:p>
    <w:p w:rsidR="00804968" w:rsidRPr="006552E9" w:rsidRDefault="00804968" w:rsidP="00804968">
      <w:pPr>
        <w:pStyle w:val="Bullet"/>
      </w:pPr>
      <w:r w:rsidRPr="006552E9">
        <w:t>The Todd Trust contribution goes towards the Todd Writers’ Bursary.</w:t>
      </w:r>
    </w:p>
    <w:p w:rsidR="00804968" w:rsidRPr="006552E9" w:rsidRDefault="00804968" w:rsidP="00804968">
      <w:pPr>
        <w:pStyle w:val="Bullet"/>
      </w:pPr>
      <w:r w:rsidRPr="006552E9">
        <w:t xml:space="preserve">Heartstrings Guitars </w:t>
      </w:r>
      <w:r w:rsidR="00186401" w:rsidRPr="006552E9">
        <w:t xml:space="preserve">donation </w:t>
      </w:r>
      <w:r w:rsidRPr="006552E9">
        <w:t>is the funds received from the auction of seven guitars created from the wood donated by the owners of many historic and iconic Christchurch buildings that fell in the earthquakes. The guitars were auctioned to raise money for organisations in the struggling Christchurch arts community. The funds are to be distributed to the Christchurch arts community via grants from Creative New Zealand’s Earthquake Emergency Response Fund.</w:t>
      </w:r>
    </w:p>
    <w:p w:rsidR="00804968" w:rsidRPr="006552E9" w:rsidRDefault="00804968" w:rsidP="00804968">
      <w:pPr>
        <w:pStyle w:val="Bullet"/>
      </w:pPr>
      <w:r w:rsidRPr="006552E9">
        <w:t xml:space="preserve">Christchurch Earthquake Support Fund </w:t>
      </w:r>
      <w:r w:rsidR="00186401" w:rsidRPr="006552E9">
        <w:t xml:space="preserve">donation </w:t>
      </w:r>
      <w:r w:rsidRPr="006552E9">
        <w:t>is the payment received from Christchurch Art Gallery. The sum relates to funds presented by the English artist Sarah Lucas to Christchurch Art Gallery and, in line with artist’s wishes, is to go towards Christchurch Earthquake Support Fund and the visual arts community.</w:t>
      </w:r>
    </w:p>
    <w:p w:rsidR="00804968" w:rsidRPr="006552E9" w:rsidRDefault="00804968" w:rsidP="00E22C83">
      <w:pPr>
        <w:pStyle w:val="Style1"/>
      </w:pPr>
      <w:bookmarkStart w:id="100" w:name="_Toc339551273"/>
      <w:r w:rsidRPr="006552E9">
        <w:t>20.</w:t>
      </w:r>
      <w:r w:rsidRPr="006552E9">
        <w:tab/>
        <w:t>Employee entitlements</w:t>
      </w:r>
      <w:bookmarkEnd w:id="100"/>
    </w:p>
    <w:p w:rsidR="0087298E" w:rsidRPr="006552E9" w:rsidRDefault="0087298E" w:rsidP="0087298E">
      <w:pPr>
        <w:pStyle w:val="Tabletext"/>
      </w:pPr>
    </w:p>
    <w:tbl>
      <w:tblPr>
        <w:tblW w:w="9198" w:type="dxa"/>
        <w:tblInd w:w="93" w:type="dxa"/>
        <w:tblLook w:val="04A0" w:firstRow="1" w:lastRow="0" w:firstColumn="1" w:lastColumn="0" w:noHBand="0" w:noVBand="1"/>
      </w:tblPr>
      <w:tblGrid>
        <w:gridCol w:w="6678"/>
        <w:gridCol w:w="1200"/>
        <w:gridCol w:w="1320"/>
      </w:tblGrid>
      <w:tr w:rsidR="0087298E" w:rsidRPr="006552E9" w:rsidTr="0087298E">
        <w:trPr>
          <w:trHeight w:val="255"/>
        </w:trPr>
        <w:tc>
          <w:tcPr>
            <w:tcW w:w="6678" w:type="dxa"/>
            <w:tcBorders>
              <w:top w:val="nil"/>
              <w:left w:val="nil"/>
              <w:right w:val="nil"/>
            </w:tcBorders>
            <w:shd w:val="clear" w:color="auto" w:fill="auto"/>
            <w:noWrap/>
            <w:vAlign w:val="bottom"/>
            <w:hideMark/>
          </w:tcPr>
          <w:p w:rsidR="0087298E" w:rsidRPr="006552E9" w:rsidRDefault="0087298E" w:rsidP="00804968">
            <w:pPr>
              <w:spacing w:before="0"/>
              <w:jc w:val="left"/>
              <w:rPr>
                <w:rFonts w:cs="Arial"/>
                <w:sz w:val="20"/>
                <w:szCs w:val="20"/>
              </w:rPr>
            </w:pPr>
          </w:p>
        </w:tc>
        <w:tc>
          <w:tcPr>
            <w:tcW w:w="1200" w:type="dxa"/>
            <w:tcBorders>
              <w:top w:val="nil"/>
              <w:left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2013 </w:t>
            </w:r>
          </w:p>
        </w:tc>
        <w:tc>
          <w:tcPr>
            <w:tcW w:w="1320" w:type="dxa"/>
            <w:tcBorders>
              <w:top w:val="nil"/>
              <w:left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2012 </w:t>
            </w:r>
          </w:p>
        </w:tc>
      </w:tr>
      <w:tr w:rsidR="0087298E" w:rsidRPr="006552E9" w:rsidTr="0087298E">
        <w:trPr>
          <w:trHeight w:val="255"/>
        </w:trPr>
        <w:tc>
          <w:tcPr>
            <w:tcW w:w="6678" w:type="dxa"/>
            <w:tcBorders>
              <w:top w:val="nil"/>
              <w:left w:val="nil"/>
              <w:bottom w:val="single" w:sz="4" w:space="0" w:color="auto"/>
              <w:right w:val="nil"/>
            </w:tcBorders>
            <w:shd w:val="clear" w:color="auto" w:fill="auto"/>
            <w:noWrap/>
            <w:vAlign w:val="bottom"/>
            <w:hideMark/>
          </w:tcPr>
          <w:p w:rsidR="0087298E" w:rsidRPr="006552E9" w:rsidRDefault="0087298E" w:rsidP="00804968">
            <w:pPr>
              <w:spacing w:before="0"/>
              <w:jc w:val="left"/>
              <w:rPr>
                <w:rFonts w:cs="Arial"/>
                <w:sz w:val="20"/>
                <w:szCs w:val="20"/>
              </w:rPr>
            </w:pPr>
          </w:p>
        </w:tc>
        <w:tc>
          <w:tcPr>
            <w:tcW w:w="1200" w:type="dxa"/>
            <w:tcBorders>
              <w:top w:val="nil"/>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$000 </w:t>
            </w:r>
          </w:p>
        </w:tc>
        <w:tc>
          <w:tcPr>
            <w:tcW w:w="1320" w:type="dxa"/>
            <w:tcBorders>
              <w:top w:val="nil"/>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$000 </w:t>
            </w:r>
          </w:p>
        </w:tc>
      </w:tr>
      <w:tr w:rsidR="0087298E" w:rsidRPr="006552E9" w:rsidTr="0087298E">
        <w:trPr>
          <w:trHeight w:val="255"/>
        </w:trPr>
        <w:tc>
          <w:tcPr>
            <w:tcW w:w="6678" w:type="dxa"/>
            <w:tcBorders>
              <w:top w:val="single" w:sz="4" w:space="0" w:color="auto"/>
              <w:left w:val="nil"/>
              <w:bottom w:val="nil"/>
              <w:right w:val="nil"/>
            </w:tcBorders>
            <w:shd w:val="clear" w:color="auto" w:fill="auto"/>
            <w:noWrap/>
            <w:vAlign w:val="bottom"/>
            <w:hideMark/>
          </w:tcPr>
          <w:p w:rsidR="0087298E" w:rsidRPr="006552E9" w:rsidRDefault="0087298E" w:rsidP="00804968">
            <w:pPr>
              <w:spacing w:before="0"/>
              <w:jc w:val="left"/>
              <w:rPr>
                <w:rFonts w:cs="Arial"/>
                <w:b/>
                <w:bCs/>
                <w:sz w:val="20"/>
                <w:szCs w:val="20"/>
              </w:rPr>
            </w:pPr>
            <w:r w:rsidRPr="006552E9">
              <w:rPr>
                <w:rFonts w:cs="Arial"/>
                <w:b/>
                <w:bCs/>
                <w:sz w:val="20"/>
                <w:szCs w:val="20"/>
              </w:rPr>
              <w:t xml:space="preserve"> Current portion </w:t>
            </w:r>
          </w:p>
        </w:tc>
        <w:tc>
          <w:tcPr>
            <w:tcW w:w="1200" w:type="dxa"/>
            <w:tcBorders>
              <w:top w:val="single" w:sz="4" w:space="0" w:color="auto"/>
              <w:left w:val="nil"/>
              <w:bottom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p>
        </w:tc>
        <w:tc>
          <w:tcPr>
            <w:tcW w:w="1320" w:type="dxa"/>
            <w:tcBorders>
              <w:top w:val="single" w:sz="4" w:space="0" w:color="auto"/>
              <w:left w:val="nil"/>
              <w:bottom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Accrued salaries and wages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82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84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Annual leave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199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216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Time in lieu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9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6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Long service leave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30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38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Total current portion </w:t>
            </w:r>
          </w:p>
        </w:tc>
        <w:tc>
          <w:tcPr>
            <w:tcW w:w="1200" w:type="dxa"/>
            <w:tcBorders>
              <w:top w:val="single" w:sz="4" w:space="0" w:color="auto"/>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320 </w:t>
            </w:r>
          </w:p>
        </w:tc>
        <w:tc>
          <w:tcPr>
            <w:tcW w:w="1320" w:type="dxa"/>
            <w:tcBorders>
              <w:top w:val="single" w:sz="4" w:space="0" w:color="auto"/>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344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b/>
                <w:bCs/>
                <w:sz w:val="20"/>
                <w:szCs w:val="20"/>
              </w:rPr>
            </w:pPr>
            <w:r w:rsidRPr="006552E9">
              <w:rPr>
                <w:rFonts w:cs="Arial"/>
                <w:b/>
                <w:bCs/>
                <w:sz w:val="20"/>
                <w:szCs w:val="20"/>
              </w:rPr>
              <w:t xml:space="preserve"> Non-current portion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Long service leave </w:t>
            </w: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39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sz w:val="20"/>
                <w:szCs w:val="20"/>
              </w:rPr>
            </w:pPr>
            <w:r w:rsidRPr="006552E9">
              <w:rPr>
                <w:rFonts w:cs="Arial"/>
                <w:sz w:val="20"/>
                <w:szCs w:val="20"/>
              </w:rPr>
              <w:t xml:space="preserve"> 31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r w:rsidRPr="006552E9">
              <w:rPr>
                <w:rFonts w:cs="Arial"/>
                <w:sz w:val="20"/>
                <w:szCs w:val="20"/>
              </w:rPr>
              <w:t xml:space="preserve"> Total non-current portion </w:t>
            </w:r>
          </w:p>
        </w:tc>
        <w:tc>
          <w:tcPr>
            <w:tcW w:w="1200" w:type="dxa"/>
            <w:tcBorders>
              <w:top w:val="single" w:sz="4" w:space="0" w:color="auto"/>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39 </w:t>
            </w:r>
          </w:p>
        </w:tc>
        <w:tc>
          <w:tcPr>
            <w:tcW w:w="1320" w:type="dxa"/>
            <w:tcBorders>
              <w:top w:val="single" w:sz="4" w:space="0" w:color="auto"/>
              <w:left w:val="nil"/>
              <w:bottom w:val="single" w:sz="4"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31 </w:t>
            </w:r>
          </w:p>
        </w:tc>
      </w:tr>
      <w:tr w:rsidR="0087298E" w:rsidRPr="006552E9" w:rsidTr="0087298E">
        <w:trPr>
          <w:trHeight w:val="255"/>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sz w:val="20"/>
                <w:szCs w:val="20"/>
              </w:rPr>
            </w:pPr>
          </w:p>
        </w:tc>
        <w:tc>
          <w:tcPr>
            <w:tcW w:w="120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w:t>
            </w:r>
          </w:p>
        </w:tc>
        <w:tc>
          <w:tcPr>
            <w:tcW w:w="1320" w:type="dxa"/>
            <w:tcBorders>
              <w:top w:val="nil"/>
              <w:left w:val="nil"/>
              <w:bottom w:val="nil"/>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w:t>
            </w:r>
          </w:p>
        </w:tc>
      </w:tr>
      <w:tr w:rsidR="0087298E" w:rsidRPr="006552E9" w:rsidTr="0087298E">
        <w:trPr>
          <w:trHeight w:val="270"/>
        </w:trPr>
        <w:tc>
          <w:tcPr>
            <w:tcW w:w="6678" w:type="dxa"/>
            <w:tcBorders>
              <w:top w:val="nil"/>
              <w:left w:val="nil"/>
              <w:bottom w:val="nil"/>
              <w:right w:val="nil"/>
            </w:tcBorders>
            <w:shd w:val="clear" w:color="auto" w:fill="auto"/>
            <w:noWrap/>
            <w:vAlign w:val="bottom"/>
            <w:hideMark/>
          </w:tcPr>
          <w:p w:rsidR="0087298E" w:rsidRPr="006552E9" w:rsidRDefault="0087298E" w:rsidP="00804968">
            <w:pPr>
              <w:spacing w:before="0"/>
              <w:jc w:val="left"/>
              <w:rPr>
                <w:rFonts w:cs="Arial"/>
                <w:b/>
                <w:bCs/>
                <w:sz w:val="20"/>
                <w:szCs w:val="20"/>
              </w:rPr>
            </w:pPr>
            <w:r w:rsidRPr="006552E9">
              <w:rPr>
                <w:rFonts w:cs="Arial"/>
                <w:b/>
                <w:bCs/>
                <w:sz w:val="20"/>
                <w:szCs w:val="20"/>
              </w:rPr>
              <w:t xml:space="preserve"> Total employee entitlements </w:t>
            </w:r>
          </w:p>
        </w:tc>
        <w:tc>
          <w:tcPr>
            <w:tcW w:w="1200" w:type="dxa"/>
            <w:tcBorders>
              <w:top w:val="single" w:sz="4" w:space="0" w:color="auto"/>
              <w:left w:val="nil"/>
              <w:bottom w:val="double" w:sz="6"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359 </w:t>
            </w:r>
          </w:p>
        </w:tc>
        <w:tc>
          <w:tcPr>
            <w:tcW w:w="1320" w:type="dxa"/>
            <w:tcBorders>
              <w:top w:val="single" w:sz="4" w:space="0" w:color="auto"/>
              <w:left w:val="nil"/>
              <w:bottom w:val="double" w:sz="6" w:space="0" w:color="auto"/>
              <w:right w:val="nil"/>
            </w:tcBorders>
            <w:shd w:val="clear" w:color="auto" w:fill="auto"/>
            <w:noWrap/>
            <w:vAlign w:val="bottom"/>
            <w:hideMark/>
          </w:tcPr>
          <w:p w:rsidR="0087298E" w:rsidRPr="006552E9" w:rsidRDefault="0087298E" w:rsidP="0087298E">
            <w:pPr>
              <w:spacing w:before="0"/>
              <w:jc w:val="right"/>
              <w:rPr>
                <w:rFonts w:cs="Arial"/>
                <w:b/>
                <w:bCs/>
                <w:sz w:val="20"/>
                <w:szCs w:val="20"/>
              </w:rPr>
            </w:pPr>
            <w:r w:rsidRPr="006552E9">
              <w:rPr>
                <w:rFonts w:cs="Arial"/>
                <w:b/>
                <w:bCs/>
                <w:sz w:val="20"/>
                <w:szCs w:val="20"/>
              </w:rPr>
              <w:t xml:space="preserve"> 375 </w:t>
            </w:r>
          </w:p>
        </w:tc>
      </w:tr>
    </w:tbl>
    <w:p w:rsidR="003B632D" w:rsidRPr="006552E9" w:rsidRDefault="00804968" w:rsidP="00E22C83">
      <w:pPr>
        <w:pStyle w:val="Style1"/>
      </w:pPr>
      <w:r w:rsidRPr="006552E9">
        <w:t>21.</w:t>
      </w:r>
      <w:r w:rsidRPr="006552E9">
        <w:tab/>
        <w:t>Equity</w:t>
      </w:r>
    </w:p>
    <w:p w:rsidR="0087298E" w:rsidRPr="006552E9" w:rsidRDefault="0087298E" w:rsidP="00192948">
      <w:pPr>
        <w:pStyle w:val="Tabletext"/>
        <w:keepNext/>
      </w:pPr>
    </w:p>
    <w:tbl>
      <w:tblPr>
        <w:tblW w:w="9261" w:type="dxa"/>
        <w:tblInd w:w="93" w:type="dxa"/>
        <w:tblLook w:val="04A0" w:firstRow="1" w:lastRow="0" w:firstColumn="1" w:lastColumn="0" w:noHBand="0" w:noVBand="1"/>
      </w:tblPr>
      <w:tblGrid>
        <w:gridCol w:w="5969"/>
        <w:gridCol w:w="772"/>
        <w:gridCol w:w="1200"/>
        <w:gridCol w:w="1320"/>
      </w:tblGrid>
      <w:tr w:rsidR="00804968" w:rsidRPr="006552E9" w:rsidTr="0087298E">
        <w:trPr>
          <w:trHeight w:val="255"/>
        </w:trPr>
        <w:tc>
          <w:tcPr>
            <w:tcW w:w="5969" w:type="dxa"/>
            <w:tcBorders>
              <w:top w:val="nil"/>
              <w:left w:val="nil"/>
              <w:right w:val="nil"/>
            </w:tcBorders>
            <w:shd w:val="clear" w:color="auto" w:fill="auto"/>
            <w:noWrap/>
            <w:vAlign w:val="bottom"/>
            <w:hideMark/>
          </w:tcPr>
          <w:p w:rsidR="00804968" w:rsidRPr="006552E9" w:rsidRDefault="00804968" w:rsidP="00192948">
            <w:pPr>
              <w:keepNext/>
              <w:spacing w:before="0"/>
              <w:jc w:val="left"/>
              <w:rPr>
                <w:rFonts w:cs="Arial"/>
                <w:sz w:val="20"/>
                <w:szCs w:val="20"/>
              </w:rPr>
            </w:pPr>
          </w:p>
        </w:tc>
        <w:tc>
          <w:tcPr>
            <w:tcW w:w="772" w:type="dxa"/>
            <w:tcBorders>
              <w:top w:val="nil"/>
              <w:left w:val="nil"/>
              <w:right w:val="nil"/>
            </w:tcBorders>
            <w:shd w:val="clear" w:color="auto" w:fill="auto"/>
            <w:noWrap/>
            <w:vAlign w:val="bottom"/>
            <w:hideMark/>
          </w:tcPr>
          <w:p w:rsidR="00804968" w:rsidRPr="006552E9" w:rsidRDefault="00804968" w:rsidP="00192948">
            <w:pPr>
              <w:keepNext/>
              <w:spacing w:before="0"/>
              <w:jc w:val="center"/>
              <w:rPr>
                <w:rFonts w:cs="Arial"/>
                <w:sz w:val="20"/>
                <w:szCs w:val="20"/>
              </w:rPr>
            </w:pPr>
          </w:p>
        </w:tc>
        <w:tc>
          <w:tcPr>
            <w:tcW w:w="1200" w:type="dxa"/>
            <w:tcBorders>
              <w:top w:val="nil"/>
              <w:left w:val="nil"/>
              <w:right w:val="nil"/>
            </w:tcBorders>
            <w:shd w:val="clear" w:color="auto" w:fill="auto"/>
            <w:noWrap/>
            <w:vAlign w:val="bottom"/>
            <w:hideMark/>
          </w:tcPr>
          <w:p w:rsidR="00804968" w:rsidRPr="006552E9" w:rsidRDefault="00804968" w:rsidP="00192948">
            <w:pPr>
              <w:keepNext/>
              <w:spacing w:before="0"/>
              <w:jc w:val="right"/>
              <w:rPr>
                <w:rFonts w:cs="Arial"/>
                <w:b/>
                <w:bCs/>
                <w:sz w:val="20"/>
                <w:szCs w:val="20"/>
              </w:rPr>
            </w:pPr>
            <w:r w:rsidRPr="006552E9">
              <w:rPr>
                <w:rFonts w:cs="Arial"/>
                <w:b/>
                <w:bCs/>
                <w:sz w:val="20"/>
                <w:szCs w:val="20"/>
              </w:rPr>
              <w:t xml:space="preserve"> 2013 </w:t>
            </w:r>
          </w:p>
        </w:tc>
        <w:tc>
          <w:tcPr>
            <w:tcW w:w="1320" w:type="dxa"/>
            <w:tcBorders>
              <w:top w:val="nil"/>
              <w:left w:val="nil"/>
              <w:right w:val="nil"/>
            </w:tcBorders>
            <w:shd w:val="clear" w:color="auto" w:fill="auto"/>
            <w:noWrap/>
            <w:vAlign w:val="bottom"/>
            <w:hideMark/>
          </w:tcPr>
          <w:p w:rsidR="00804968" w:rsidRPr="006552E9" w:rsidRDefault="00804968" w:rsidP="00192948">
            <w:pPr>
              <w:keepNext/>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5969" w:type="dxa"/>
            <w:tcBorders>
              <w:top w:val="nil"/>
              <w:left w:val="nil"/>
              <w:bottom w:val="single" w:sz="4" w:space="0" w:color="auto"/>
              <w:right w:val="nil"/>
            </w:tcBorders>
            <w:shd w:val="clear" w:color="auto" w:fill="auto"/>
            <w:noWrap/>
            <w:vAlign w:val="bottom"/>
            <w:hideMark/>
          </w:tcPr>
          <w:p w:rsidR="00804968" w:rsidRPr="006552E9" w:rsidRDefault="00804968" w:rsidP="00192948">
            <w:pPr>
              <w:keepNext/>
              <w:spacing w:before="0"/>
              <w:jc w:val="left"/>
              <w:rPr>
                <w:rFonts w:cs="Arial"/>
                <w:sz w:val="20"/>
                <w:szCs w:val="20"/>
              </w:rPr>
            </w:pPr>
          </w:p>
        </w:tc>
        <w:tc>
          <w:tcPr>
            <w:tcW w:w="772" w:type="dxa"/>
            <w:tcBorders>
              <w:top w:val="nil"/>
              <w:left w:val="nil"/>
              <w:bottom w:val="single" w:sz="4" w:space="0" w:color="auto"/>
              <w:right w:val="nil"/>
            </w:tcBorders>
            <w:shd w:val="clear" w:color="auto" w:fill="auto"/>
            <w:noWrap/>
            <w:vAlign w:val="bottom"/>
            <w:hideMark/>
          </w:tcPr>
          <w:p w:rsidR="00804968" w:rsidRPr="006552E9" w:rsidRDefault="00804968" w:rsidP="00192948">
            <w:pPr>
              <w:keepNext/>
              <w:spacing w:before="0"/>
              <w:jc w:val="center"/>
              <w:rPr>
                <w:rFonts w:cs="Arial"/>
                <w:b/>
                <w:bCs/>
                <w:sz w:val="20"/>
                <w:szCs w:val="20"/>
              </w:rPr>
            </w:pPr>
            <w:r w:rsidRPr="006552E9">
              <w:rPr>
                <w:rFonts w:cs="Arial"/>
                <w:b/>
                <w:bCs/>
                <w:sz w:val="20"/>
                <w:szCs w:val="20"/>
              </w:rPr>
              <w:t>NOTE</w:t>
            </w:r>
          </w:p>
        </w:tc>
        <w:tc>
          <w:tcPr>
            <w:tcW w:w="1200" w:type="dxa"/>
            <w:tcBorders>
              <w:top w:val="nil"/>
              <w:left w:val="nil"/>
              <w:bottom w:val="single" w:sz="4" w:space="0" w:color="auto"/>
              <w:right w:val="nil"/>
            </w:tcBorders>
            <w:shd w:val="clear" w:color="auto" w:fill="auto"/>
            <w:noWrap/>
            <w:vAlign w:val="bottom"/>
            <w:hideMark/>
          </w:tcPr>
          <w:p w:rsidR="00804968" w:rsidRPr="006552E9" w:rsidRDefault="00804968" w:rsidP="00192948">
            <w:pPr>
              <w:keepNext/>
              <w:spacing w:before="0"/>
              <w:jc w:val="right"/>
              <w:rPr>
                <w:rFonts w:cs="Arial"/>
                <w:b/>
                <w:bCs/>
                <w:sz w:val="20"/>
                <w:szCs w:val="20"/>
              </w:rPr>
            </w:pPr>
            <w:r w:rsidRPr="006552E9">
              <w:rPr>
                <w:rFonts w:cs="Arial"/>
                <w:b/>
                <w:bCs/>
                <w:sz w:val="20"/>
                <w:szCs w:val="20"/>
              </w:rPr>
              <w:t xml:space="preserve"> $000 </w:t>
            </w:r>
          </w:p>
        </w:tc>
        <w:tc>
          <w:tcPr>
            <w:tcW w:w="1320" w:type="dxa"/>
            <w:tcBorders>
              <w:top w:val="nil"/>
              <w:left w:val="nil"/>
              <w:bottom w:val="single" w:sz="4" w:space="0" w:color="auto"/>
              <w:right w:val="nil"/>
            </w:tcBorders>
            <w:shd w:val="clear" w:color="auto" w:fill="auto"/>
            <w:noWrap/>
            <w:vAlign w:val="bottom"/>
            <w:hideMark/>
          </w:tcPr>
          <w:p w:rsidR="00804968" w:rsidRPr="006552E9" w:rsidRDefault="00804968" w:rsidP="00192948">
            <w:pPr>
              <w:keepNext/>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5969" w:type="dxa"/>
            <w:tcBorders>
              <w:top w:val="single" w:sz="4" w:space="0" w:color="auto"/>
              <w:left w:val="nil"/>
              <w:bottom w:val="nil"/>
              <w:right w:val="nil"/>
            </w:tcBorders>
            <w:shd w:val="clear" w:color="auto" w:fill="auto"/>
            <w:noWrap/>
            <w:vAlign w:val="bottom"/>
            <w:hideMark/>
          </w:tcPr>
          <w:p w:rsidR="00804968" w:rsidRPr="006552E9" w:rsidRDefault="00804968" w:rsidP="00192948">
            <w:pPr>
              <w:keepNext/>
              <w:spacing w:before="0"/>
              <w:jc w:val="left"/>
              <w:rPr>
                <w:rFonts w:cs="Arial"/>
                <w:b/>
                <w:bCs/>
                <w:sz w:val="20"/>
                <w:szCs w:val="20"/>
              </w:rPr>
            </w:pPr>
            <w:r w:rsidRPr="006552E9">
              <w:rPr>
                <w:rFonts w:cs="Arial"/>
                <w:b/>
                <w:bCs/>
                <w:sz w:val="20"/>
                <w:szCs w:val="20"/>
              </w:rPr>
              <w:t xml:space="preserve"> Accumulated funds </w:t>
            </w:r>
          </w:p>
        </w:tc>
        <w:tc>
          <w:tcPr>
            <w:tcW w:w="772" w:type="dxa"/>
            <w:tcBorders>
              <w:top w:val="single" w:sz="4" w:space="0" w:color="auto"/>
              <w:left w:val="nil"/>
              <w:bottom w:val="nil"/>
              <w:right w:val="nil"/>
            </w:tcBorders>
            <w:shd w:val="clear" w:color="auto" w:fill="auto"/>
            <w:noWrap/>
            <w:vAlign w:val="bottom"/>
            <w:hideMark/>
          </w:tcPr>
          <w:p w:rsidR="00804968" w:rsidRPr="006552E9" w:rsidRDefault="00804968" w:rsidP="00192948">
            <w:pPr>
              <w:keepNext/>
              <w:spacing w:before="0"/>
              <w:jc w:val="center"/>
              <w:rPr>
                <w:rFonts w:cs="Arial"/>
                <w:sz w:val="20"/>
                <w:szCs w:val="20"/>
              </w:rPr>
            </w:pPr>
          </w:p>
        </w:tc>
        <w:tc>
          <w:tcPr>
            <w:tcW w:w="1200" w:type="dxa"/>
            <w:tcBorders>
              <w:top w:val="single" w:sz="4" w:space="0" w:color="auto"/>
              <w:left w:val="nil"/>
              <w:bottom w:val="nil"/>
              <w:right w:val="nil"/>
            </w:tcBorders>
            <w:shd w:val="clear" w:color="auto" w:fill="auto"/>
            <w:noWrap/>
            <w:vAlign w:val="bottom"/>
            <w:hideMark/>
          </w:tcPr>
          <w:p w:rsidR="00804968" w:rsidRPr="006552E9" w:rsidRDefault="00804968" w:rsidP="00192948">
            <w:pPr>
              <w:keepNext/>
              <w:spacing w:before="0"/>
              <w:jc w:val="right"/>
              <w:rPr>
                <w:rFonts w:cs="Arial"/>
                <w:sz w:val="20"/>
                <w:szCs w:val="20"/>
              </w:rPr>
            </w:pPr>
          </w:p>
        </w:tc>
        <w:tc>
          <w:tcPr>
            <w:tcW w:w="1320" w:type="dxa"/>
            <w:tcBorders>
              <w:top w:val="single" w:sz="4" w:space="0" w:color="auto"/>
              <w:left w:val="nil"/>
              <w:bottom w:val="nil"/>
              <w:right w:val="nil"/>
            </w:tcBorders>
            <w:shd w:val="clear" w:color="auto" w:fill="auto"/>
            <w:noWrap/>
            <w:vAlign w:val="bottom"/>
            <w:hideMark/>
          </w:tcPr>
          <w:p w:rsidR="00804968" w:rsidRPr="006552E9" w:rsidRDefault="00804968" w:rsidP="00192948">
            <w:pPr>
              <w:keepNext/>
              <w:spacing w:before="0"/>
              <w:jc w:val="right"/>
              <w:rPr>
                <w:rFonts w:cs="Arial"/>
                <w:sz w:val="20"/>
                <w:szCs w:val="20"/>
              </w:rPr>
            </w:pP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Balance at 1 July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8,413 </w:t>
            </w:r>
          </w:p>
        </w:tc>
        <w:tc>
          <w:tcPr>
            <w:tcW w:w="132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10,759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Gifting of work of art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r w:rsidRPr="006552E9">
              <w:rPr>
                <w:rFonts w:cs="Arial"/>
                <w:sz w:val="20"/>
                <w:szCs w:val="20"/>
              </w:rPr>
              <w:t>15</w:t>
            </w:r>
          </w:p>
        </w:tc>
        <w:tc>
          <w:tcPr>
            <w:tcW w:w="1200"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32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834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Net operating surplus/(deficit) for the year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single" w:sz="4" w:space="0" w:color="auto"/>
              <w:right w:val="nil"/>
            </w:tcBorders>
            <w:shd w:val="clear" w:color="auto" w:fill="auto"/>
            <w:noWrap/>
            <w:vAlign w:val="center"/>
            <w:hideMark/>
          </w:tcPr>
          <w:p w:rsidR="00804968" w:rsidRPr="006552E9" w:rsidRDefault="00FF4EBE" w:rsidP="00192948">
            <w:pPr>
              <w:spacing w:before="0"/>
              <w:jc w:val="right"/>
              <w:rPr>
                <w:rFonts w:cs="Arial"/>
                <w:sz w:val="20"/>
                <w:szCs w:val="20"/>
              </w:rPr>
            </w:pPr>
            <w:r w:rsidRPr="006552E9">
              <w:rPr>
                <w:rFonts w:cs="Arial"/>
                <w:sz w:val="20"/>
                <w:szCs w:val="20"/>
              </w:rPr>
              <w:t xml:space="preserve"> </w:t>
            </w:r>
            <w:r w:rsidR="00804968" w:rsidRPr="006552E9">
              <w:rPr>
                <w:rFonts w:cs="Arial"/>
                <w:sz w:val="20"/>
                <w:szCs w:val="20"/>
              </w:rPr>
              <w:t>2,</w:t>
            </w:r>
            <w:r w:rsidR="00192948">
              <w:rPr>
                <w:rFonts w:cs="Arial"/>
                <w:sz w:val="20"/>
                <w:szCs w:val="20"/>
              </w:rPr>
              <w:t>564</w:t>
            </w:r>
            <w:r w:rsidR="00804968" w:rsidRPr="006552E9">
              <w:rPr>
                <w:rFonts w:cs="Arial"/>
                <w:sz w:val="20"/>
                <w:szCs w:val="20"/>
              </w:rPr>
              <w:t xml:space="preserve"> </w:t>
            </w:r>
          </w:p>
        </w:tc>
        <w:tc>
          <w:tcPr>
            <w:tcW w:w="1320" w:type="dxa"/>
            <w:tcBorders>
              <w:top w:val="nil"/>
              <w:left w:val="nil"/>
              <w:bottom w:val="single" w:sz="4" w:space="0" w:color="auto"/>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(3,180)</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Balance at 30 June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center"/>
            <w:hideMark/>
          </w:tcPr>
          <w:p w:rsidR="00804968" w:rsidRPr="006552E9" w:rsidRDefault="00FF4EBE" w:rsidP="00192948">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10,9</w:t>
            </w:r>
            <w:r w:rsidR="00192948">
              <w:rPr>
                <w:rFonts w:cs="Arial"/>
                <w:b/>
                <w:bCs/>
                <w:sz w:val="20"/>
                <w:szCs w:val="20"/>
              </w:rPr>
              <w:t>77</w:t>
            </w:r>
            <w:r w:rsidR="00804968" w:rsidRPr="006552E9">
              <w:rPr>
                <w:rFonts w:cs="Arial"/>
                <w:b/>
                <w:bCs/>
                <w:sz w:val="20"/>
                <w:szCs w:val="20"/>
              </w:rPr>
              <w:t xml:space="preserve"> </w:t>
            </w:r>
          </w:p>
        </w:tc>
        <w:tc>
          <w:tcPr>
            <w:tcW w:w="132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8,413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center"/>
            <w:hideMark/>
          </w:tcPr>
          <w:p w:rsidR="00804968" w:rsidRPr="006552E9" w:rsidRDefault="00804968" w:rsidP="0087298E">
            <w:pPr>
              <w:spacing w:before="0"/>
              <w:jc w:val="right"/>
              <w:rPr>
                <w:rFonts w:cs="Arial"/>
                <w:sz w:val="20"/>
                <w:szCs w:val="20"/>
              </w:rPr>
            </w:pPr>
          </w:p>
        </w:tc>
        <w:tc>
          <w:tcPr>
            <w:tcW w:w="1320" w:type="dxa"/>
            <w:tcBorders>
              <w:top w:val="nil"/>
              <w:left w:val="nil"/>
              <w:bottom w:val="nil"/>
              <w:right w:val="nil"/>
            </w:tcBorders>
            <w:shd w:val="clear" w:color="auto" w:fill="auto"/>
            <w:noWrap/>
            <w:vAlign w:val="center"/>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Revaluation reserves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c>
          <w:tcPr>
            <w:tcW w:w="1320"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Balance at 1 July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1,152 </w:t>
            </w:r>
          </w:p>
        </w:tc>
        <w:tc>
          <w:tcPr>
            <w:tcW w:w="132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3,044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Revaluation of land and buildings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r w:rsidRPr="006552E9">
              <w:rPr>
                <w:rFonts w:cs="Arial"/>
                <w:sz w:val="20"/>
                <w:szCs w:val="20"/>
              </w:rPr>
              <w:t>14</w:t>
            </w:r>
          </w:p>
        </w:tc>
        <w:tc>
          <w:tcPr>
            <w:tcW w:w="1200" w:type="dxa"/>
            <w:tcBorders>
              <w:top w:val="nil"/>
              <w:left w:val="nil"/>
              <w:bottom w:val="nil"/>
              <w:right w:val="nil"/>
            </w:tcBorders>
            <w:shd w:val="clear" w:color="auto" w:fill="auto"/>
            <w:noWrap/>
            <w:vAlign w:val="center"/>
            <w:hideMark/>
          </w:tcPr>
          <w:p w:rsidR="00804968" w:rsidRPr="006552E9" w:rsidRDefault="00192948" w:rsidP="0087298E">
            <w:pPr>
              <w:spacing w:before="0"/>
              <w:jc w:val="right"/>
              <w:rPr>
                <w:rFonts w:cs="Arial"/>
                <w:sz w:val="20"/>
                <w:szCs w:val="20"/>
              </w:rPr>
            </w:pPr>
            <w:r>
              <w:rPr>
                <w:rFonts w:cs="Arial"/>
                <w:sz w:val="20"/>
                <w:szCs w:val="20"/>
              </w:rPr>
              <w:t>274</w:t>
            </w:r>
            <w:r w:rsidR="00804968" w:rsidRPr="006552E9">
              <w:rPr>
                <w:rFonts w:cs="Arial"/>
                <w:sz w:val="20"/>
                <w:szCs w:val="20"/>
              </w:rPr>
              <w:t xml:space="preserve"> </w:t>
            </w:r>
          </w:p>
        </w:tc>
        <w:tc>
          <w:tcPr>
            <w:tcW w:w="132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(1,010)</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Gifting of work of art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r w:rsidRPr="006552E9">
              <w:rPr>
                <w:rFonts w:cs="Arial"/>
                <w:sz w:val="20"/>
                <w:szCs w:val="20"/>
              </w:rPr>
              <w:t>15</w:t>
            </w:r>
          </w:p>
        </w:tc>
        <w:tc>
          <w:tcPr>
            <w:tcW w:w="1200" w:type="dxa"/>
            <w:tcBorders>
              <w:top w:val="nil"/>
              <w:left w:val="nil"/>
              <w:bottom w:val="nil"/>
              <w:right w:val="nil"/>
            </w:tcBorders>
            <w:shd w:val="clear" w:color="auto" w:fill="auto"/>
            <w:noWrap/>
            <w:vAlign w:val="center"/>
            <w:hideMark/>
          </w:tcPr>
          <w:p w:rsidR="00804968" w:rsidRPr="006552E9" w:rsidRDefault="00C02722" w:rsidP="0087298E">
            <w:pPr>
              <w:spacing w:before="0"/>
              <w:jc w:val="right"/>
              <w:rPr>
                <w:rFonts w:cs="Arial"/>
                <w:sz w:val="20"/>
                <w:szCs w:val="20"/>
              </w:rPr>
            </w:pPr>
            <w:r>
              <w:rPr>
                <w:rFonts w:cs="Arial"/>
                <w:sz w:val="20"/>
                <w:szCs w:val="20"/>
              </w:rPr>
              <w:t xml:space="preserve"> </w:t>
            </w:r>
            <w:r w:rsidR="002E460F">
              <w:rPr>
                <w:rFonts w:cs="Arial"/>
                <w:sz w:val="20"/>
                <w:szCs w:val="20"/>
              </w:rPr>
              <w:t>–</w:t>
            </w:r>
            <w:r w:rsidR="00FF4EBE" w:rsidRPr="006552E9">
              <w:rPr>
                <w:rFonts w:cs="Arial"/>
                <w:sz w:val="20"/>
                <w:szCs w:val="20"/>
              </w:rPr>
              <w:t xml:space="preserve"> </w:t>
            </w:r>
          </w:p>
        </w:tc>
        <w:tc>
          <w:tcPr>
            <w:tcW w:w="132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(834)</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Revaluation of works of art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r w:rsidRPr="006552E9">
              <w:rPr>
                <w:rFonts w:cs="Arial"/>
                <w:sz w:val="20"/>
                <w:szCs w:val="20"/>
              </w:rPr>
              <w:t>15</w:t>
            </w:r>
          </w:p>
        </w:tc>
        <w:tc>
          <w:tcPr>
            <w:tcW w:w="1200" w:type="dxa"/>
            <w:tcBorders>
              <w:top w:val="nil"/>
              <w:left w:val="nil"/>
              <w:bottom w:val="single" w:sz="4" w:space="0" w:color="auto"/>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17 </w:t>
            </w:r>
          </w:p>
        </w:tc>
        <w:tc>
          <w:tcPr>
            <w:tcW w:w="1320" w:type="dxa"/>
            <w:tcBorders>
              <w:top w:val="nil"/>
              <w:left w:val="nil"/>
              <w:bottom w:val="single" w:sz="4" w:space="0" w:color="auto"/>
              <w:right w:val="nil"/>
            </w:tcBorders>
            <w:shd w:val="clear" w:color="auto" w:fill="auto"/>
            <w:noWrap/>
            <w:vAlign w:val="center"/>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(48)</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Balance at 30 June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center"/>
            <w:hideMark/>
          </w:tcPr>
          <w:p w:rsidR="00804968" w:rsidRPr="006552E9" w:rsidRDefault="00FF4EBE" w:rsidP="00192948">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1,</w:t>
            </w:r>
            <w:r w:rsidR="00CD492D">
              <w:rPr>
                <w:rFonts w:cs="Arial"/>
                <w:b/>
                <w:bCs/>
                <w:sz w:val="20"/>
                <w:szCs w:val="20"/>
              </w:rPr>
              <w:t>4</w:t>
            </w:r>
            <w:r w:rsidR="00192948">
              <w:rPr>
                <w:rFonts w:cs="Arial"/>
                <w:b/>
                <w:bCs/>
                <w:sz w:val="20"/>
                <w:szCs w:val="20"/>
              </w:rPr>
              <w:t>43</w:t>
            </w:r>
            <w:r w:rsidR="00804968" w:rsidRPr="006552E9">
              <w:rPr>
                <w:rFonts w:cs="Arial"/>
                <w:b/>
                <w:bCs/>
                <w:sz w:val="20"/>
                <w:szCs w:val="20"/>
              </w:rPr>
              <w:t xml:space="preserve"> </w:t>
            </w:r>
          </w:p>
        </w:tc>
        <w:tc>
          <w:tcPr>
            <w:tcW w:w="1320" w:type="dxa"/>
            <w:tcBorders>
              <w:top w:val="nil"/>
              <w:left w:val="nil"/>
              <w:bottom w:val="nil"/>
              <w:right w:val="nil"/>
            </w:tcBorders>
            <w:shd w:val="clear" w:color="auto" w:fill="auto"/>
            <w:noWrap/>
            <w:vAlign w:val="center"/>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1,152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nil"/>
              <w:left w:val="nil"/>
              <w:bottom w:val="nil"/>
              <w:right w:val="nil"/>
            </w:tcBorders>
            <w:shd w:val="clear" w:color="auto" w:fill="auto"/>
            <w:noWrap/>
            <w:vAlign w:val="center"/>
            <w:hideMark/>
          </w:tcPr>
          <w:p w:rsidR="00804968" w:rsidRPr="006552E9" w:rsidRDefault="00804968" w:rsidP="0087298E">
            <w:pPr>
              <w:spacing w:before="0"/>
              <w:jc w:val="right"/>
              <w:rPr>
                <w:rFonts w:cs="Arial"/>
                <w:sz w:val="20"/>
                <w:szCs w:val="20"/>
              </w:rPr>
            </w:pPr>
          </w:p>
        </w:tc>
        <w:tc>
          <w:tcPr>
            <w:tcW w:w="1320" w:type="dxa"/>
            <w:tcBorders>
              <w:top w:val="nil"/>
              <w:left w:val="nil"/>
              <w:bottom w:val="nil"/>
              <w:right w:val="nil"/>
            </w:tcBorders>
            <w:shd w:val="clear" w:color="auto" w:fill="auto"/>
            <w:noWrap/>
            <w:vAlign w:val="center"/>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Total equity</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12,420 </w:t>
            </w:r>
          </w:p>
        </w:tc>
        <w:tc>
          <w:tcPr>
            <w:tcW w:w="132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9,565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Revaluation reserve consist</w:t>
            </w:r>
            <w:r w:rsidR="0087298E" w:rsidRPr="006552E9">
              <w:rPr>
                <w:rFonts w:cs="Arial"/>
                <w:b/>
                <w:bCs/>
                <w:sz w:val="20"/>
                <w:szCs w:val="20"/>
              </w:rPr>
              <w:t>s</w:t>
            </w:r>
            <w:r w:rsidRPr="006552E9">
              <w:rPr>
                <w:rFonts w:cs="Arial"/>
                <w:b/>
                <w:bCs/>
                <w:sz w:val="20"/>
                <w:szCs w:val="20"/>
              </w:rPr>
              <w:t xml:space="preserve"> of:</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p>
        </w:tc>
        <w:tc>
          <w:tcPr>
            <w:tcW w:w="1320" w:type="dxa"/>
            <w:tcBorders>
              <w:top w:val="single" w:sz="4" w:space="0" w:color="auto"/>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Cs/>
                <w:sz w:val="20"/>
                <w:szCs w:val="20"/>
              </w:rPr>
            </w:pPr>
            <w:r w:rsidRPr="006552E9">
              <w:rPr>
                <w:rFonts w:cs="Arial"/>
                <w:bCs/>
                <w:sz w:val="20"/>
                <w:szCs w:val="20"/>
              </w:rPr>
              <w:t>Land and Building revaluation reserve</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192948">
            <w:pPr>
              <w:spacing w:before="0"/>
              <w:jc w:val="right"/>
              <w:rPr>
                <w:rFonts w:cs="Arial"/>
                <w:bCs/>
                <w:sz w:val="20"/>
                <w:szCs w:val="20"/>
              </w:rPr>
            </w:pPr>
            <w:r w:rsidRPr="006552E9">
              <w:rPr>
                <w:rFonts w:cs="Arial"/>
                <w:bCs/>
                <w:sz w:val="20"/>
                <w:szCs w:val="20"/>
              </w:rPr>
              <w:t xml:space="preserve"> </w:t>
            </w:r>
            <w:r w:rsidR="00192948">
              <w:rPr>
                <w:rFonts w:cs="Arial"/>
                <w:bCs/>
                <w:sz w:val="20"/>
                <w:szCs w:val="20"/>
              </w:rPr>
              <w:t>274</w:t>
            </w:r>
            <w:r w:rsidR="00804968" w:rsidRPr="006552E9">
              <w:rPr>
                <w:rFonts w:cs="Arial"/>
                <w:bCs/>
                <w:sz w:val="20"/>
                <w:szCs w:val="20"/>
              </w:rPr>
              <w:t xml:space="preserve"> </w:t>
            </w:r>
          </w:p>
        </w:tc>
        <w:tc>
          <w:tcPr>
            <w:tcW w:w="1320" w:type="dxa"/>
            <w:tcBorders>
              <w:top w:val="single" w:sz="4" w:space="0" w:color="auto"/>
              <w:left w:val="nil"/>
              <w:bottom w:val="single" w:sz="4" w:space="0" w:color="auto"/>
              <w:right w:val="nil"/>
            </w:tcBorders>
            <w:shd w:val="clear" w:color="auto" w:fill="auto"/>
            <w:noWrap/>
            <w:vAlign w:val="bottom"/>
            <w:hideMark/>
          </w:tcPr>
          <w:p w:rsidR="00804968" w:rsidRPr="006552E9" w:rsidRDefault="00C02722" w:rsidP="0087298E">
            <w:pPr>
              <w:spacing w:before="0"/>
              <w:jc w:val="right"/>
              <w:rPr>
                <w:rFonts w:cs="Arial"/>
                <w:bCs/>
                <w:sz w:val="20"/>
                <w:szCs w:val="20"/>
              </w:rPr>
            </w:pPr>
            <w:r>
              <w:rPr>
                <w:rFonts w:cs="Arial"/>
                <w:bCs/>
                <w:sz w:val="20"/>
                <w:szCs w:val="20"/>
              </w:rPr>
              <w:t xml:space="preserve"> </w:t>
            </w:r>
            <w:r w:rsidR="002E460F">
              <w:rPr>
                <w:rFonts w:cs="Arial"/>
                <w:bCs/>
                <w:sz w:val="20"/>
                <w:szCs w:val="20"/>
              </w:rPr>
              <w:t>–</w:t>
            </w:r>
            <w:r w:rsidR="00FF4EBE" w:rsidRPr="006552E9">
              <w:rPr>
                <w:rFonts w:cs="Arial"/>
                <w:bCs/>
                <w:sz w:val="20"/>
                <w:szCs w:val="20"/>
              </w:rPr>
              <w:t xml:space="preserve">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Cs/>
                <w:sz w:val="20"/>
                <w:szCs w:val="20"/>
              </w:rPr>
            </w:pPr>
            <w:r w:rsidRPr="006552E9">
              <w:rPr>
                <w:rFonts w:cs="Arial"/>
                <w:bCs/>
                <w:sz w:val="20"/>
                <w:szCs w:val="20"/>
              </w:rPr>
              <w:t>Works of Art revaluation reserve</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Cs/>
                <w:sz w:val="20"/>
                <w:szCs w:val="20"/>
              </w:rPr>
            </w:pPr>
            <w:r w:rsidRPr="006552E9">
              <w:rPr>
                <w:rFonts w:cs="Arial"/>
                <w:bCs/>
                <w:sz w:val="20"/>
                <w:szCs w:val="20"/>
              </w:rPr>
              <w:t xml:space="preserve"> </w:t>
            </w:r>
            <w:r w:rsidR="00804968" w:rsidRPr="006552E9">
              <w:rPr>
                <w:rFonts w:cs="Arial"/>
                <w:bCs/>
                <w:sz w:val="20"/>
                <w:szCs w:val="20"/>
              </w:rPr>
              <w:t xml:space="preserve">1,169 </w:t>
            </w:r>
          </w:p>
        </w:tc>
        <w:tc>
          <w:tcPr>
            <w:tcW w:w="132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Cs/>
                <w:sz w:val="20"/>
                <w:szCs w:val="20"/>
              </w:rPr>
            </w:pPr>
            <w:r w:rsidRPr="006552E9">
              <w:rPr>
                <w:rFonts w:cs="Arial"/>
                <w:bCs/>
                <w:sz w:val="20"/>
                <w:szCs w:val="20"/>
              </w:rPr>
              <w:t xml:space="preserve"> </w:t>
            </w:r>
            <w:r w:rsidR="00804968" w:rsidRPr="006552E9">
              <w:rPr>
                <w:rFonts w:cs="Arial"/>
                <w:bCs/>
                <w:sz w:val="20"/>
                <w:szCs w:val="20"/>
              </w:rPr>
              <w:t xml:space="preserve">1,152 </w:t>
            </w:r>
          </w:p>
        </w:tc>
      </w:tr>
      <w:tr w:rsidR="00804968" w:rsidRPr="006552E9" w:rsidTr="0087298E">
        <w:trPr>
          <w:trHeight w:val="255"/>
        </w:trPr>
        <w:tc>
          <w:tcPr>
            <w:tcW w:w="596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revaluation reserve </w:t>
            </w:r>
          </w:p>
        </w:tc>
        <w:tc>
          <w:tcPr>
            <w:tcW w:w="772" w:type="dxa"/>
            <w:tcBorders>
              <w:top w:val="nil"/>
              <w:left w:val="nil"/>
              <w:bottom w:val="nil"/>
              <w:right w:val="nil"/>
            </w:tcBorders>
            <w:shd w:val="clear" w:color="auto" w:fill="auto"/>
            <w:noWrap/>
            <w:vAlign w:val="bottom"/>
            <w:hideMark/>
          </w:tcPr>
          <w:p w:rsidR="00804968" w:rsidRPr="006552E9" w:rsidRDefault="00804968" w:rsidP="0087298E">
            <w:pPr>
              <w:spacing w:before="0"/>
              <w:jc w:val="center"/>
              <w:rPr>
                <w:rFonts w:cs="Arial"/>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192948">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1,</w:t>
            </w:r>
            <w:r w:rsidR="00192948">
              <w:rPr>
                <w:rFonts w:cs="Arial"/>
                <w:b/>
                <w:bCs/>
                <w:sz w:val="20"/>
                <w:szCs w:val="20"/>
              </w:rPr>
              <w:t>443</w:t>
            </w:r>
            <w:r w:rsidR="00804968" w:rsidRPr="006552E9">
              <w:rPr>
                <w:rFonts w:cs="Arial"/>
                <w:b/>
                <w:bCs/>
                <w:sz w:val="20"/>
                <w:szCs w:val="20"/>
              </w:rPr>
              <w:t xml:space="preserve"> </w:t>
            </w:r>
          </w:p>
        </w:tc>
        <w:tc>
          <w:tcPr>
            <w:tcW w:w="132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1,152 </w:t>
            </w:r>
          </w:p>
        </w:tc>
      </w:tr>
    </w:tbl>
    <w:p w:rsidR="00804968" w:rsidRPr="006552E9" w:rsidRDefault="00804968" w:rsidP="00E22C83">
      <w:pPr>
        <w:pStyle w:val="Style1"/>
      </w:pPr>
      <w:r w:rsidRPr="006552E9">
        <w:t>22.</w:t>
      </w:r>
      <w:r w:rsidRPr="006552E9">
        <w:tab/>
        <w:t xml:space="preserve">Reconciliation of net surplus/(deficit) to net </w:t>
      </w:r>
      <w:r w:rsidR="008F45DE">
        <w:t>cash flow</w:t>
      </w:r>
      <w:r w:rsidRPr="006552E9">
        <w:t xml:space="preserve"> from operating activities</w:t>
      </w:r>
    </w:p>
    <w:p w:rsidR="0087298E" w:rsidRPr="006552E9" w:rsidRDefault="0087298E" w:rsidP="0087298E">
      <w:pPr>
        <w:pStyle w:val="Tabletext"/>
      </w:pPr>
    </w:p>
    <w:tbl>
      <w:tblPr>
        <w:tblW w:w="9229" w:type="dxa"/>
        <w:tblInd w:w="93" w:type="dxa"/>
        <w:tblLook w:val="04A0" w:firstRow="1" w:lastRow="0" w:firstColumn="1" w:lastColumn="0" w:noHBand="0" w:noVBand="1"/>
      </w:tblPr>
      <w:tblGrid>
        <w:gridCol w:w="6819"/>
        <w:gridCol w:w="1134"/>
        <w:gridCol w:w="1276"/>
      </w:tblGrid>
      <w:tr w:rsidR="00804968" w:rsidRPr="006552E9" w:rsidTr="0087298E">
        <w:trPr>
          <w:trHeight w:val="255"/>
        </w:trPr>
        <w:tc>
          <w:tcPr>
            <w:tcW w:w="6819" w:type="dxa"/>
            <w:tcBorders>
              <w:top w:val="nil"/>
              <w:left w:val="nil"/>
              <w:right w:val="nil"/>
            </w:tcBorders>
            <w:shd w:val="clear" w:color="auto" w:fill="auto"/>
            <w:vAlign w:val="bottom"/>
            <w:hideMark/>
          </w:tcPr>
          <w:p w:rsidR="00804968" w:rsidRPr="006552E9" w:rsidRDefault="00804968" w:rsidP="00804968">
            <w:pPr>
              <w:spacing w:before="0"/>
              <w:jc w:val="center"/>
              <w:rPr>
                <w:rFonts w:cs="Arial"/>
                <w:b/>
                <w:bCs/>
                <w:sz w:val="20"/>
                <w:szCs w:val="20"/>
              </w:rPr>
            </w:pPr>
          </w:p>
        </w:tc>
        <w:tc>
          <w:tcPr>
            <w:tcW w:w="1134"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2013 </w:t>
            </w:r>
          </w:p>
        </w:tc>
        <w:tc>
          <w:tcPr>
            <w:tcW w:w="1276"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6819" w:type="dxa"/>
            <w:tcBorders>
              <w:top w:val="nil"/>
              <w:left w:val="nil"/>
              <w:bottom w:val="single" w:sz="4" w:space="0" w:color="auto"/>
              <w:right w:val="nil"/>
            </w:tcBorders>
            <w:shd w:val="clear" w:color="auto" w:fill="auto"/>
            <w:noWrap/>
            <w:vAlign w:val="bottom"/>
            <w:hideMark/>
          </w:tcPr>
          <w:p w:rsidR="00804968" w:rsidRPr="006552E9" w:rsidRDefault="00804968" w:rsidP="00804968">
            <w:pPr>
              <w:spacing w:before="0"/>
              <w:jc w:val="left"/>
              <w:rPr>
                <w:rFonts w:cs="Arial"/>
                <w:b/>
                <w:bCs/>
                <w:sz w:val="20"/>
                <w:szCs w:val="20"/>
              </w:rPr>
            </w:pPr>
          </w:p>
        </w:tc>
        <w:tc>
          <w:tcPr>
            <w:tcW w:w="1134"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c>
          <w:tcPr>
            <w:tcW w:w="1276"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Net surplus/(deficit) from operations </w:t>
            </w:r>
          </w:p>
        </w:tc>
        <w:tc>
          <w:tcPr>
            <w:tcW w:w="1134" w:type="dxa"/>
            <w:tcBorders>
              <w:top w:val="nil"/>
              <w:left w:val="nil"/>
              <w:bottom w:val="nil"/>
              <w:right w:val="nil"/>
            </w:tcBorders>
            <w:shd w:val="clear" w:color="auto" w:fill="auto"/>
            <w:noWrap/>
            <w:vAlign w:val="bottom"/>
            <w:hideMark/>
          </w:tcPr>
          <w:p w:rsidR="00804968" w:rsidRPr="006552E9" w:rsidRDefault="00FF4EBE" w:rsidP="00CD492D">
            <w:pPr>
              <w:spacing w:before="0"/>
              <w:jc w:val="right"/>
              <w:rPr>
                <w:rFonts w:cs="Arial"/>
                <w:sz w:val="20"/>
                <w:szCs w:val="20"/>
              </w:rPr>
            </w:pPr>
            <w:r w:rsidRPr="006552E9">
              <w:rPr>
                <w:rFonts w:cs="Arial"/>
                <w:sz w:val="20"/>
                <w:szCs w:val="20"/>
              </w:rPr>
              <w:t xml:space="preserve"> </w:t>
            </w:r>
            <w:r w:rsidR="00804968" w:rsidRPr="006552E9">
              <w:rPr>
                <w:rFonts w:cs="Arial"/>
                <w:sz w:val="20"/>
                <w:szCs w:val="20"/>
              </w:rPr>
              <w:t>2,</w:t>
            </w:r>
            <w:r w:rsidR="00CD492D">
              <w:rPr>
                <w:rFonts w:cs="Arial"/>
                <w:sz w:val="20"/>
                <w:szCs w:val="20"/>
              </w:rPr>
              <w:t>564</w:t>
            </w:r>
            <w:r w:rsidR="00804968" w:rsidRPr="006552E9">
              <w:rPr>
                <w:rFonts w:cs="Arial"/>
                <w:sz w:val="20"/>
                <w:szCs w:val="20"/>
              </w:rPr>
              <w:t xml:space="preserve">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(3,180)</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i/>
                <w:iCs/>
                <w:color w:val="FF0000"/>
                <w:sz w:val="20"/>
                <w:szCs w:val="20"/>
              </w:rPr>
            </w:pPr>
          </w:p>
        </w:tc>
        <w:tc>
          <w:tcPr>
            <w:tcW w:w="1276"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color w:val="FF0000"/>
                <w:sz w:val="20"/>
                <w:szCs w:val="20"/>
              </w:rPr>
            </w:pP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Add/(less) non-cash items: </w:t>
            </w:r>
          </w:p>
        </w:tc>
        <w:tc>
          <w:tcPr>
            <w:tcW w:w="1134"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i/>
                <w:iCs/>
                <w:sz w:val="20"/>
                <w:szCs w:val="20"/>
              </w:rPr>
            </w:pPr>
          </w:p>
        </w:tc>
        <w:tc>
          <w:tcPr>
            <w:tcW w:w="1276"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Depreciation and amortisation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391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440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Loss on gifting of work of art </w:t>
            </w:r>
          </w:p>
        </w:tc>
        <w:tc>
          <w:tcPr>
            <w:tcW w:w="1134"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835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Loss/(</w:t>
            </w:r>
            <w:r w:rsidR="000B4830" w:rsidRPr="006552E9">
              <w:rPr>
                <w:rFonts w:cs="Arial"/>
                <w:sz w:val="20"/>
                <w:szCs w:val="20"/>
              </w:rPr>
              <w:t>gain</w:t>
            </w:r>
            <w:r w:rsidRPr="006552E9">
              <w:rPr>
                <w:rFonts w:cs="Arial"/>
                <w:sz w:val="20"/>
                <w:szCs w:val="20"/>
              </w:rPr>
              <w:t xml:space="preserve">) on revaluation of investment property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(68)</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228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Loss/(</w:t>
            </w:r>
            <w:r w:rsidR="000B4830" w:rsidRPr="006552E9">
              <w:rPr>
                <w:rFonts w:cs="Arial"/>
                <w:sz w:val="20"/>
                <w:szCs w:val="20"/>
              </w:rPr>
              <w:t xml:space="preserve">gain) </w:t>
            </w:r>
            <w:r w:rsidRPr="006552E9">
              <w:rPr>
                <w:rFonts w:cs="Arial"/>
                <w:sz w:val="20"/>
                <w:szCs w:val="20"/>
              </w:rPr>
              <w:t xml:space="preserve">on revaluation of land and building </w:t>
            </w:r>
          </w:p>
        </w:tc>
        <w:tc>
          <w:tcPr>
            <w:tcW w:w="1134" w:type="dxa"/>
            <w:tcBorders>
              <w:top w:val="nil"/>
              <w:left w:val="nil"/>
              <w:bottom w:val="nil"/>
              <w:right w:val="nil"/>
            </w:tcBorders>
            <w:shd w:val="clear" w:color="auto" w:fill="auto"/>
            <w:noWrap/>
            <w:vAlign w:val="bottom"/>
            <w:hideMark/>
          </w:tcPr>
          <w:p w:rsidR="00804968" w:rsidRPr="006552E9" w:rsidRDefault="00192948" w:rsidP="0087298E">
            <w:pPr>
              <w:spacing w:before="0"/>
              <w:jc w:val="right"/>
              <w:rPr>
                <w:rFonts w:cs="Arial"/>
                <w:sz w:val="20"/>
                <w:szCs w:val="20"/>
              </w:rPr>
            </w:pPr>
            <w:r>
              <w:rPr>
                <w:rFonts w:cs="Arial"/>
                <w:sz w:val="20"/>
                <w:szCs w:val="20"/>
              </w:rPr>
              <w:t>(69)</w:t>
            </w:r>
            <w:r w:rsidR="00FF4EBE" w:rsidRPr="006552E9">
              <w:rPr>
                <w:rFonts w:cs="Arial"/>
                <w:sz w:val="20"/>
                <w:szCs w:val="20"/>
              </w:rPr>
              <w:t xml:space="preserve">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69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Loss on disposal of property, plant and equipment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13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46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(Gain)/loss on foreign exchange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10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Retirement of grants </w:t>
            </w:r>
          </w:p>
        </w:tc>
        <w:tc>
          <w:tcPr>
            <w:tcW w:w="1134"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(96)</w:t>
            </w:r>
          </w:p>
        </w:tc>
        <w:tc>
          <w:tcPr>
            <w:tcW w:w="1276"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(135)</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non-cash items </w:t>
            </w:r>
          </w:p>
        </w:tc>
        <w:tc>
          <w:tcPr>
            <w:tcW w:w="1134" w:type="dxa"/>
            <w:tcBorders>
              <w:top w:val="nil"/>
              <w:left w:val="nil"/>
              <w:bottom w:val="nil"/>
              <w:right w:val="nil"/>
            </w:tcBorders>
            <w:shd w:val="clear" w:color="auto" w:fill="auto"/>
            <w:noWrap/>
            <w:vAlign w:val="bottom"/>
            <w:hideMark/>
          </w:tcPr>
          <w:p w:rsidR="00804968" w:rsidRPr="006552E9" w:rsidRDefault="00FF4EBE" w:rsidP="00CD492D">
            <w:pPr>
              <w:spacing w:before="0"/>
              <w:jc w:val="right"/>
              <w:rPr>
                <w:rFonts w:cs="Arial"/>
                <w:b/>
                <w:bCs/>
                <w:sz w:val="20"/>
                <w:szCs w:val="20"/>
              </w:rPr>
            </w:pPr>
            <w:r w:rsidRPr="006552E9">
              <w:rPr>
                <w:rFonts w:cs="Arial"/>
                <w:b/>
                <w:bCs/>
                <w:sz w:val="20"/>
                <w:szCs w:val="20"/>
              </w:rPr>
              <w:t xml:space="preserve"> </w:t>
            </w:r>
            <w:r w:rsidR="00CD492D">
              <w:rPr>
                <w:rFonts w:cs="Arial"/>
                <w:b/>
                <w:bCs/>
                <w:sz w:val="20"/>
                <w:szCs w:val="20"/>
              </w:rPr>
              <w:t>170</w:t>
            </w:r>
            <w:r w:rsidR="00804968" w:rsidRPr="006552E9">
              <w:rPr>
                <w:rFonts w:cs="Arial"/>
                <w:b/>
                <w:bCs/>
                <w:sz w:val="20"/>
                <w:szCs w:val="20"/>
              </w:rPr>
              <w:t xml:space="preserve">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1,493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Add/(less) movements in working capital items: </w:t>
            </w:r>
          </w:p>
        </w:tc>
        <w:tc>
          <w:tcPr>
            <w:tcW w:w="1134"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i/>
                <w:iCs/>
                <w:sz w:val="20"/>
                <w:szCs w:val="20"/>
              </w:rPr>
            </w:pPr>
          </w:p>
        </w:tc>
        <w:tc>
          <w:tcPr>
            <w:tcW w:w="1276"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Decrease</w:t>
            </w:r>
            <w:r w:rsidR="000B4830">
              <w:rPr>
                <w:rFonts w:cs="Arial"/>
                <w:sz w:val="20"/>
                <w:szCs w:val="20"/>
              </w:rPr>
              <w:t>/</w:t>
            </w:r>
            <w:r w:rsidRPr="006552E9">
              <w:rPr>
                <w:rFonts w:cs="Arial"/>
                <w:sz w:val="20"/>
                <w:szCs w:val="20"/>
              </w:rPr>
              <w:t xml:space="preserve">(increase) in prepayments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(65)</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(108)</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Decrease</w:t>
            </w:r>
            <w:r w:rsidR="000B4830">
              <w:rPr>
                <w:rFonts w:cs="Arial"/>
                <w:sz w:val="20"/>
                <w:szCs w:val="20"/>
              </w:rPr>
              <w:t>/</w:t>
            </w:r>
            <w:r w:rsidRPr="006552E9">
              <w:rPr>
                <w:rFonts w:cs="Arial"/>
                <w:sz w:val="20"/>
                <w:szCs w:val="20"/>
              </w:rPr>
              <w:t xml:space="preserve">(increase) in accounts receivable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(384)</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(6,409)</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Decrease</w:t>
            </w:r>
            <w:r w:rsidR="000B4830">
              <w:rPr>
                <w:rFonts w:cs="Arial"/>
                <w:sz w:val="20"/>
                <w:szCs w:val="20"/>
              </w:rPr>
              <w:t>/</w:t>
            </w:r>
            <w:r w:rsidRPr="006552E9">
              <w:rPr>
                <w:rFonts w:cs="Arial"/>
                <w:sz w:val="20"/>
                <w:szCs w:val="20"/>
              </w:rPr>
              <w:t xml:space="preserve">(increase) in interest receivable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(8)</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(67)</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Increase</w:t>
            </w:r>
            <w:r w:rsidR="000B4830">
              <w:rPr>
                <w:rFonts w:cs="Arial"/>
                <w:sz w:val="20"/>
                <w:szCs w:val="20"/>
              </w:rPr>
              <w:t>/</w:t>
            </w:r>
            <w:r w:rsidRPr="006552E9">
              <w:rPr>
                <w:rFonts w:cs="Arial"/>
                <w:sz w:val="20"/>
                <w:szCs w:val="20"/>
              </w:rPr>
              <w:t>(decrease) in GST payable</w:t>
            </w:r>
            <w:r w:rsidR="000B4830">
              <w:rPr>
                <w:rFonts w:cs="Arial"/>
                <w:sz w:val="20"/>
                <w:szCs w:val="20"/>
              </w:rPr>
              <w:t>/</w:t>
            </w:r>
            <w:r w:rsidRPr="006552E9">
              <w:rPr>
                <w:rFonts w:cs="Arial"/>
                <w:sz w:val="20"/>
                <w:szCs w:val="20"/>
              </w:rPr>
              <w:t xml:space="preserve">receivable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104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(1,321)</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Increase</w:t>
            </w:r>
            <w:r w:rsidR="000B4830">
              <w:rPr>
                <w:rFonts w:cs="Arial"/>
                <w:sz w:val="20"/>
                <w:szCs w:val="20"/>
              </w:rPr>
              <w:t>/</w:t>
            </w:r>
            <w:r w:rsidRPr="006552E9">
              <w:rPr>
                <w:rFonts w:cs="Arial"/>
                <w:sz w:val="20"/>
                <w:szCs w:val="20"/>
              </w:rPr>
              <w:t xml:space="preserve">(decrease) in accounts payable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(575)</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514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Increase</w:t>
            </w:r>
            <w:r w:rsidR="000B4830">
              <w:rPr>
                <w:rFonts w:cs="Arial"/>
                <w:sz w:val="20"/>
                <w:szCs w:val="20"/>
              </w:rPr>
              <w:t>/</w:t>
            </w:r>
            <w:r w:rsidRPr="006552E9">
              <w:rPr>
                <w:rFonts w:cs="Arial"/>
                <w:sz w:val="20"/>
                <w:szCs w:val="20"/>
              </w:rPr>
              <w:t xml:space="preserve">(decrease) in provision for employee entitlements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(16)</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13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0B4830">
            <w:pPr>
              <w:spacing w:before="0"/>
              <w:jc w:val="left"/>
              <w:rPr>
                <w:rFonts w:cs="Arial"/>
                <w:sz w:val="20"/>
                <w:szCs w:val="20"/>
              </w:rPr>
            </w:pPr>
            <w:r w:rsidRPr="006552E9">
              <w:rPr>
                <w:rFonts w:cs="Arial"/>
                <w:sz w:val="20"/>
                <w:szCs w:val="20"/>
              </w:rPr>
              <w:t xml:space="preserve"> Increase</w:t>
            </w:r>
            <w:r w:rsidR="000B4830">
              <w:rPr>
                <w:rFonts w:cs="Arial"/>
                <w:sz w:val="20"/>
                <w:szCs w:val="20"/>
              </w:rPr>
              <w:t>/</w:t>
            </w:r>
            <w:r w:rsidRPr="006552E9">
              <w:rPr>
                <w:rFonts w:cs="Arial"/>
                <w:sz w:val="20"/>
                <w:szCs w:val="20"/>
              </w:rPr>
              <w:t xml:space="preserve">(decrease) in current grants payable </w:t>
            </w:r>
          </w:p>
        </w:tc>
        <w:tc>
          <w:tcPr>
            <w:tcW w:w="1134"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1,142 </w:t>
            </w:r>
          </w:p>
        </w:tc>
        <w:tc>
          <w:tcPr>
            <w:tcW w:w="1276"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778 </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Net movements in working capital items </w:t>
            </w:r>
          </w:p>
        </w:tc>
        <w:tc>
          <w:tcPr>
            <w:tcW w:w="1134"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198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(6,600)</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Add/(less) items classified as investing activities </w:t>
            </w:r>
          </w:p>
        </w:tc>
        <w:tc>
          <w:tcPr>
            <w:tcW w:w="1134"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c>
          <w:tcPr>
            <w:tcW w:w="1276" w:type="dxa"/>
            <w:tcBorders>
              <w:top w:val="nil"/>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Net loss/(gain) on the sale of property, plant and equipment </w:t>
            </w:r>
          </w:p>
        </w:tc>
        <w:tc>
          <w:tcPr>
            <w:tcW w:w="1134" w:type="dxa"/>
            <w:tcBorders>
              <w:top w:val="nil"/>
              <w:left w:val="nil"/>
              <w:bottom w:val="single" w:sz="4" w:space="0" w:color="auto"/>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c>
          <w:tcPr>
            <w:tcW w:w="1276"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(2)</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items classified as investing activities </w:t>
            </w:r>
          </w:p>
        </w:tc>
        <w:tc>
          <w:tcPr>
            <w:tcW w:w="1134"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b/>
                <w:bCs/>
                <w:sz w:val="20"/>
                <w:szCs w:val="20"/>
              </w:rPr>
            </w:pPr>
            <w:r>
              <w:rPr>
                <w:rFonts w:cs="Arial"/>
                <w:b/>
                <w:bCs/>
                <w:sz w:val="20"/>
                <w:szCs w:val="20"/>
              </w:rPr>
              <w:t xml:space="preserve"> </w:t>
            </w:r>
            <w:r w:rsidR="00877D63">
              <w:rPr>
                <w:rFonts w:cs="Arial"/>
                <w:b/>
                <w:bCs/>
                <w:sz w:val="20"/>
                <w:szCs w:val="20"/>
              </w:rPr>
              <w:t>–</w:t>
            </w:r>
            <w:r w:rsidR="00FF4EBE" w:rsidRPr="006552E9">
              <w:rPr>
                <w:rFonts w:cs="Arial"/>
                <w:b/>
                <w:bCs/>
                <w:sz w:val="20"/>
                <w:szCs w:val="20"/>
              </w:rPr>
              <w:t xml:space="preserve"> </w:t>
            </w:r>
          </w:p>
        </w:tc>
        <w:tc>
          <w:tcPr>
            <w:tcW w:w="1276"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(2)</w:t>
            </w:r>
          </w:p>
        </w:tc>
      </w:tr>
      <w:tr w:rsidR="00804968" w:rsidRPr="006552E9" w:rsidTr="0087298E">
        <w:trPr>
          <w:trHeight w:val="255"/>
        </w:trPr>
        <w:tc>
          <w:tcPr>
            <w:tcW w:w="6819"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NET </w:t>
            </w:r>
            <w:r w:rsidR="008F45DE">
              <w:rPr>
                <w:rFonts w:cs="Arial"/>
                <w:b/>
                <w:bCs/>
                <w:sz w:val="20"/>
                <w:szCs w:val="20"/>
              </w:rPr>
              <w:t>CASH FLOW</w:t>
            </w:r>
            <w:r w:rsidRPr="006552E9">
              <w:rPr>
                <w:rFonts w:cs="Arial"/>
                <w:b/>
                <w:bCs/>
                <w:sz w:val="20"/>
                <w:szCs w:val="20"/>
              </w:rPr>
              <w:t xml:space="preserve"> FROM OPERATING ACTIVITIES </w:t>
            </w:r>
          </w:p>
        </w:tc>
        <w:tc>
          <w:tcPr>
            <w:tcW w:w="1134"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2,932 </w:t>
            </w:r>
          </w:p>
        </w:tc>
        <w:tc>
          <w:tcPr>
            <w:tcW w:w="1276"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(8,289)</w:t>
            </w:r>
          </w:p>
        </w:tc>
      </w:tr>
    </w:tbl>
    <w:p w:rsidR="00804968" w:rsidRPr="006552E9" w:rsidRDefault="00804968" w:rsidP="00E22C83">
      <w:pPr>
        <w:pStyle w:val="Style1"/>
      </w:pPr>
      <w:r w:rsidRPr="006552E9">
        <w:t>23.</w:t>
      </w:r>
      <w:r w:rsidRPr="006552E9">
        <w:tab/>
        <w:t>Commitments and operating leases</w:t>
      </w:r>
    </w:p>
    <w:p w:rsidR="00804968" w:rsidRPr="006552E9" w:rsidRDefault="00804968" w:rsidP="00804968">
      <w:pPr>
        <w:pStyle w:val="Heading4"/>
      </w:pPr>
      <w:r w:rsidRPr="006552E9">
        <w:t>23.1</w:t>
      </w:r>
      <w:r w:rsidRPr="006552E9">
        <w:tab/>
        <w:t>Capital commitments</w:t>
      </w:r>
    </w:p>
    <w:tbl>
      <w:tblPr>
        <w:tblW w:w="9160" w:type="dxa"/>
        <w:tblInd w:w="93" w:type="dxa"/>
        <w:tblLook w:val="04A0" w:firstRow="1" w:lastRow="0" w:firstColumn="1" w:lastColumn="0" w:noHBand="0" w:noVBand="1"/>
      </w:tblPr>
      <w:tblGrid>
        <w:gridCol w:w="6800"/>
        <w:gridCol w:w="1180"/>
        <w:gridCol w:w="1180"/>
      </w:tblGrid>
      <w:tr w:rsidR="00804968" w:rsidRPr="006552E9" w:rsidTr="0087298E">
        <w:trPr>
          <w:trHeight w:val="255"/>
        </w:trPr>
        <w:tc>
          <w:tcPr>
            <w:tcW w:w="6800" w:type="dxa"/>
            <w:tcBorders>
              <w:top w:val="nil"/>
              <w:left w:val="nil"/>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2013 </w:t>
            </w: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6800" w:type="dxa"/>
            <w:tcBorders>
              <w:top w:val="nil"/>
              <w:left w:val="nil"/>
              <w:bottom w:val="single" w:sz="4" w:space="0" w:color="auto"/>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6800" w:type="dxa"/>
            <w:tcBorders>
              <w:top w:val="single" w:sz="4" w:space="0" w:color="auto"/>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Capital commitments </w:t>
            </w: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Intangible </w:t>
            </w:r>
            <w:r w:rsidR="000B4830" w:rsidRPr="006552E9">
              <w:rPr>
                <w:rFonts w:cs="Arial"/>
                <w:sz w:val="20"/>
                <w:szCs w:val="20"/>
              </w:rPr>
              <w:t xml:space="preserve">assets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382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53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capital commitments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382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53 </w:t>
            </w:r>
          </w:p>
        </w:tc>
      </w:tr>
    </w:tbl>
    <w:p w:rsidR="00804968" w:rsidRPr="006552E9" w:rsidRDefault="00804968" w:rsidP="00804968">
      <w:r w:rsidRPr="006552E9">
        <w:t>Creative New Zealand entered into an agreement with Fusion5 for the delivery of the Pivotal</w:t>
      </w:r>
      <w:r w:rsidR="00C02722">
        <w:t xml:space="preserve"> </w:t>
      </w:r>
      <w:r w:rsidR="00877D63">
        <w:t>–</w:t>
      </w:r>
      <w:r w:rsidRPr="006552E9">
        <w:t xml:space="preserve"> Grant Management (GMS) and Customer Relationship Management (CRM) solution. This project has been broken down into multiple phases. The capital commitment at 30 June 2013 relates to the solution build and deliver phase (phase 2)</w:t>
      </w:r>
      <w:r w:rsidR="000B4830">
        <w:t>,</w:t>
      </w:r>
      <w:r w:rsidRPr="006552E9">
        <w:t xml:space="preserve"> </w:t>
      </w:r>
      <w:r w:rsidR="000B4830">
        <w:t xml:space="preserve">which </w:t>
      </w:r>
      <w:r w:rsidRPr="006552E9">
        <w:t>has been contracted and the cost capped. Further costs will be known when the business and user acceptance testing plans, as well as data migration plan</w:t>
      </w:r>
      <w:r w:rsidR="000B4830">
        <w:t>,</w:t>
      </w:r>
      <w:r w:rsidRPr="006552E9">
        <w:t xml:space="preserve"> are completed.</w:t>
      </w:r>
    </w:p>
    <w:p w:rsidR="00804968" w:rsidRPr="006552E9" w:rsidRDefault="00804968" w:rsidP="00804968">
      <w:pPr>
        <w:pStyle w:val="Heading4"/>
      </w:pPr>
      <w:r w:rsidRPr="006552E9">
        <w:t>23.2</w:t>
      </w:r>
      <w:r w:rsidRPr="006552E9">
        <w:tab/>
        <w:t>Grant commitments</w:t>
      </w:r>
    </w:p>
    <w:tbl>
      <w:tblPr>
        <w:tblW w:w="9160" w:type="dxa"/>
        <w:tblInd w:w="93" w:type="dxa"/>
        <w:tblLook w:val="04A0" w:firstRow="1" w:lastRow="0" w:firstColumn="1" w:lastColumn="0" w:noHBand="0" w:noVBand="1"/>
      </w:tblPr>
      <w:tblGrid>
        <w:gridCol w:w="6800"/>
        <w:gridCol w:w="1180"/>
        <w:gridCol w:w="1180"/>
      </w:tblGrid>
      <w:tr w:rsidR="00804968" w:rsidRPr="006552E9" w:rsidTr="0087298E">
        <w:trPr>
          <w:trHeight w:val="255"/>
        </w:trPr>
        <w:tc>
          <w:tcPr>
            <w:tcW w:w="6800" w:type="dxa"/>
            <w:tcBorders>
              <w:top w:val="nil"/>
              <w:left w:val="nil"/>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2013 </w:t>
            </w: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6800" w:type="dxa"/>
            <w:tcBorders>
              <w:top w:val="nil"/>
              <w:left w:val="nil"/>
              <w:bottom w:val="single" w:sz="4" w:space="0" w:color="auto"/>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6800" w:type="dxa"/>
            <w:tcBorders>
              <w:top w:val="single" w:sz="4" w:space="0" w:color="auto"/>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Grant commitments, payable: </w:t>
            </w: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15,415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20,243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1,515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8,095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two years and not later than three years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610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grant commitments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17,540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28,338 </w:t>
            </w:r>
          </w:p>
        </w:tc>
      </w:tr>
    </w:tbl>
    <w:p w:rsidR="00804968" w:rsidRPr="006552E9" w:rsidRDefault="00804968" w:rsidP="00804968">
      <w:r w:rsidRPr="006552E9">
        <w:t>Contracts are entered into with organisations, which Creative New Zealand funds on a two or three-year basis. Amounts granted under these multi-year contracts are disclosed in the Statement of Financial Performance to the extent that they relate to the current financial year.</w:t>
      </w:r>
    </w:p>
    <w:p w:rsidR="00804968" w:rsidRPr="006552E9" w:rsidRDefault="00804968" w:rsidP="00804968">
      <w:r w:rsidRPr="006552E9">
        <w:t>The major variance in grant commitments between 2013 and 2012 is caused by the timing of the multi-year funding contracts.</w:t>
      </w:r>
    </w:p>
    <w:p w:rsidR="00804968" w:rsidRPr="006552E9" w:rsidRDefault="000B4830" w:rsidP="00804968">
      <w:pPr>
        <w:pStyle w:val="Heading4"/>
      </w:pPr>
      <w:r>
        <w:t>23.3</w:t>
      </w:r>
      <w:r>
        <w:tab/>
      </w:r>
      <w:r w:rsidR="00804968" w:rsidRPr="006552E9">
        <w:t>Operating leases</w:t>
      </w:r>
    </w:p>
    <w:tbl>
      <w:tblPr>
        <w:tblW w:w="9160" w:type="dxa"/>
        <w:tblInd w:w="93" w:type="dxa"/>
        <w:tblLook w:val="04A0" w:firstRow="1" w:lastRow="0" w:firstColumn="1" w:lastColumn="0" w:noHBand="0" w:noVBand="1"/>
      </w:tblPr>
      <w:tblGrid>
        <w:gridCol w:w="6800"/>
        <w:gridCol w:w="1180"/>
        <w:gridCol w:w="1180"/>
      </w:tblGrid>
      <w:tr w:rsidR="00804968" w:rsidRPr="006552E9" w:rsidTr="0087298E">
        <w:trPr>
          <w:trHeight w:val="255"/>
        </w:trPr>
        <w:tc>
          <w:tcPr>
            <w:tcW w:w="6800" w:type="dxa"/>
            <w:tcBorders>
              <w:top w:val="nil"/>
              <w:left w:val="nil"/>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2013 </w:t>
            </w: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6800" w:type="dxa"/>
            <w:tcBorders>
              <w:top w:val="nil"/>
              <w:left w:val="nil"/>
              <w:bottom w:val="single" w:sz="4" w:space="0" w:color="auto"/>
              <w:right w:val="nil"/>
            </w:tcBorders>
            <w:shd w:val="clear" w:color="auto" w:fill="auto"/>
            <w:noWrap/>
            <w:vAlign w:val="bottom"/>
            <w:hideMark/>
          </w:tcPr>
          <w:p w:rsidR="00804968" w:rsidRPr="006552E9" w:rsidRDefault="00804968" w:rsidP="00804968">
            <w:pPr>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6800" w:type="dxa"/>
            <w:tcBorders>
              <w:top w:val="single" w:sz="4" w:space="0" w:color="auto"/>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Operating leases as lessee, payable: </w:t>
            </w: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93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145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75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88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two years and not later than five years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6 </w:t>
            </w:r>
          </w:p>
        </w:tc>
        <w:tc>
          <w:tcPr>
            <w:tcW w:w="1180" w:type="dxa"/>
            <w:tcBorders>
              <w:top w:val="nil"/>
              <w:left w:val="nil"/>
              <w:bottom w:val="nil"/>
              <w:right w:val="nil"/>
            </w:tcBorders>
            <w:shd w:val="clear" w:color="auto" w:fill="auto"/>
            <w:noWrap/>
            <w:vAlign w:val="bottom"/>
            <w:hideMark/>
          </w:tcPr>
          <w:p w:rsidR="00804968" w:rsidRPr="006552E9" w:rsidRDefault="00FF4EBE" w:rsidP="00192948">
            <w:pPr>
              <w:spacing w:before="0"/>
              <w:jc w:val="right"/>
              <w:rPr>
                <w:rFonts w:cs="Arial"/>
                <w:sz w:val="20"/>
                <w:szCs w:val="20"/>
              </w:rPr>
            </w:pPr>
            <w:r w:rsidRPr="006552E9">
              <w:rPr>
                <w:rFonts w:cs="Arial"/>
                <w:sz w:val="20"/>
                <w:szCs w:val="20"/>
              </w:rPr>
              <w:t xml:space="preserve"> </w:t>
            </w:r>
            <w:r w:rsidR="00192948">
              <w:rPr>
                <w:rFonts w:cs="Arial"/>
                <w:sz w:val="20"/>
                <w:szCs w:val="20"/>
              </w:rPr>
              <w:t>86</w:t>
            </w:r>
            <w:r w:rsidR="00804968" w:rsidRPr="006552E9">
              <w:rPr>
                <w:rFonts w:cs="Arial"/>
                <w:sz w:val="20"/>
                <w:szCs w:val="20"/>
              </w:rPr>
              <w:t xml:space="preserve">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five years </w:t>
            </w:r>
          </w:p>
        </w:tc>
        <w:tc>
          <w:tcPr>
            <w:tcW w:w="1180"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non-cancellable operating leases payable </w:t>
            </w:r>
          </w:p>
        </w:tc>
        <w:tc>
          <w:tcPr>
            <w:tcW w:w="118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174 </w:t>
            </w:r>
          </w:p>
        </w:tc>
        <w:tc>
          <w:tcPr>
            <w:tcW w:w="118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192948">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3</w:t>
            </w:r>
            <w:r w:rsidR="00192948">
              <w:rPr>
                <w:rFonts w:cs="Arial"/>
                <w:b/>
                <w:bCs/>
                <w:sz w:val="20"/>
                <w:szCs w:val="20"/>
              </w:rPr>
              <w:t>19</w:t>
            </w:r>
            <w:r w:rsidR="00804968" w:rsidRPr="006552E9">
              <w:rPr>
                <w:rFonts w:cs="Arial"/>
                <w:b/>
                <w:bCs/>
                <w:sz w:val="20"/>
                <w:szCs w:val="20"/>
              </w:rPr>
              <w:t xml:space="preserve"> </w:t>
            </w:r>
          </w:p>
        </w:tc>
      </w:tr>
    </w:tbl>
    <w:p w:rsidR="00804968" w:rsidRPr="006552E9" w:rsidRDefault="00804968" w:rsidP="00804968">
      <w:r w:rsidRPr="006552E9">
        <w:t>Creative New Zealand leases office premises in Auckland and Rotorua, video conferencing equipment, multifunctional devices and printers. The non-cancellable leasing period</w:t>
      </w:r>
      <w:r w:rsidR="000B4830">
        <w:t>s</w:t>
      </w:r>
      <w:r w:rsidRPr="006552E9">
        <w:t xml:space="preserve"> for these leases range from two to six years.</w:t>
      </w:r>
      <w:r w:rsidR="00FF4EBE" w:rsidRPr="006552E9">
        <w:t xml:space="preserve"> </w:t>
      </w:r>
      <w:r w:rsidRPr="006552E9">
        <w:t>There are no contingent rents payable and no sublease income receivable on these operating leases.</w:t>
      </w:r>
    </w:p>
    <w:p w:rsidR="0087298E" w:rsidRPr="006552E9" w:rsidRDefault="0087298E" w:rsidP="0087298E">
      <w:pPr>
        <w:pStyle w:val="Tabletext"/>
      </w:pPr>
    </w:p>
    <w:tbl>
      <w:tblPr>
        <w:tblW w:w="9160" w:type="dxa"/>
        <w:tblInd w:w="93" w:type="dxa"/>
        <w:tblLook w:val="04A0" w:firstRow="1" w:lastRow="0" w:firstColumn="1" w:lastColumn="0" w:noHBand="0" w:noVBand="1"/>
      </w:tblPr>
      <w:tblGrid>
        <w:gridCol w:w="6800"/>
        <w:gridCol w:w="1180"/>
        <w:gridCol w:w="1180"/>
      </w:tblGrid>
      <w:tr w:rsidR="00804968" w:rsidRPr="006552E9" w:rsidTr="0087298E">
        <w:trPr>
          <w:trHeight w:val="255"/>
        </w:trPr>
        <w:tc>
          <w:tcPr>
            <w:tcW w:w="6800" w:type="dxa"/>
            <w:tcBorders>
              <w:top w:val="nil"/>
              <w:left w:val="nil"/>
              <w:right w:val="nil"/>
            </w:tcBorders>
            <w:shd w:val="clear" w:color="auto" w:fill="auto"/>
            <w:noWrap/>
            <w:vAlign w:val="bottom"/>
            <w:hideMark/>
          </w:tcPr>
          <w:p w:rsidR="00804968" w:rsidRPr="006552E9" w:rsidRDefault="00804968" w:rsidP="0087298E">
            <w:pPr>
              <w:keepNext/>
              <w:spacing w:before="0"/>
              <w:jc w:val="left"/>
              <w:rPr>
                <w:rFonts w:cs="Arial"/>
                <w:sz w:val="20"/>
                <w:szCs w:val="20"/>
              </w:rPr>
            </w:pP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2013 </w:t>
            </w:r>
          </w:p>
        </w:tc>
        <w:tc>
          <w:tcPr>
            <w:tcW w:w="1180" w:type="dxa"/>
            <w:tcBorders>
              <w:top w:val="nil"/>
              <w:left w:val="nil"/>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2012 </w:t>
            </w:r>
          </w:p>
        </w:tc>
      </w:tr>
      <w:tr w:rsidR="00804968" w:rsidRPr="006552E9" w:rsidTr="0087298E">
        <w:trPr>
          <w:trHeight w:val="255"/>
        </w:trPr>
        <w:tc>
          <w:tcPr>
            <w:tcW w:w="6800" w:type="dxa"/>
            <w:tcBorders>
              <w:top w:val="nil"/>
              <w:left w:val="nil"/>
              <w:bottom w:val="single" w:sz="4" w:space="0" w:color="auto"/>
              <w:right w:val="nil"/>
            </w:tcBorders>
            <w:shd w:val="clear" w:color="auto" w:fill="auto"/>
            <w:noWrap/>
            <w:vAlign w:val="bottom"/>
            <w:hideMark/>
          </w:tcPr>
          <w:p w:rsidR="00804968" w:rsidRPr="006552E9" w:rsidRDefault="00804968" w:rsidP="0087298E">
            <w:pPr>
              <w:keepNext/>
              <w:spacing w:before="0"/>
              <w:jc w:val="left"/>
              <w:rPr>
                <w:rFonts w:cs="Arial"/>
                <w:sz w:val="20"/>
                <w:szCs w:val="20"/>
              </w:rPr>
            </w:pP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c>
          <w:tcPr>
            <w:tcW w:w="1180" w:type="dxa"/>
            <w:tcBorders>
              <w:top w:val="nil"/>
              <w:left w:val="nil"/>
              <w:bottom w:val="single" w:sz="4" w:space="0" w:color="auto"/>
              <w:right w:val="nil"/>
            </w:tcBorders>
            <w:shd w:val="clear" w:color="auto" w:fill="auto"/>
            <w:noWrap/>
            <w:vAlign w:val="bottom"/>
            <w:hideMark/>
          </w:tcPr>
          <w:p w:rsidR="00804968" w:rsidRPr="006552E9" w:rsidRDefault="00804968" w:rsidP="0087298E">
            <w:pPr>
              <w:spacing w:before="0"/>
              <w:jc w:val="right"/>
              <w:rPr>
                <w:rFonts w:cs="Arial"/>
                <w:b/>
                <w:bCs/>
                <w:sz w:val="20"/>
                <w:szCs w:val="20"/>
              </w:rPr>
            </w:pPr>
            <w:r w:rsidRPr="006552E9">
              <w:rPr>
                <w:rFonts w:cs="Arial"/>
                <w:b/>
                <w:bCs/>
                <w:sz w:val="20"/>
                <w:szCs w:val="20"/>
              </w:rPr>
              <w:t xml:space="preserve"> $000 </w:t>
            </w:r>
          </w:p>
        </w:tc>
      </w:tr>
      <w:tr w:rsidR="00804968" w:rsidRPr="006552E9" w:rsidTr="0087298E">
        <w:trPr>
          <w:trHeight w:val="255"/>
        </w:trPr>
        <w:tc>
          <w:tcPr>
            <w:tcW w:w="6800" w:type="dxa"/>
            <w:tcBorders>
              <w:top w:val="single" w:sz="4" w:space="0" w:color="auto"/>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Operating leases as lessor, receivable: </w:t>
            </w: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c>
          <w:tcPr>
            <w:tcW w:w="1180" w:type="dxa"/>
            <w:tcBorders>
              <w:top w:val="single" w:sz="4" w:space="0" w:color="auto"/>
              <w:left w:val="nil"/>
              <w:bottom w:val="nil"/>
              <w:right w:val="nil"/>
            </w:tcBorders>
            <w:shd w:val="clear" w:color="auto" w:fill="auto"/>
            <w:noWrap/>
            <w:vAlign w:val="bottom"/>
            <w:hideMark/>
          </w:tcPr>
          <w:p w:rsidR="00804968" w:rsidRPr="006552E9" w:rsidRDefault="00804968" w:rsidP="0087298E">
            <w:pPr>
              <w:spacing w:before="0"/>
              <w:jc w:val="right"/>
              <w:rPr>
                <w:rFonts w:cs="Arial"/>
                <w:sz w:val="20"/>
                <w:szCs w:val="20"/>
              </w:rPr>
            </w:pP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Not later than one year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21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21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one year and not later than two years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3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two years and not later than five years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5 </w:t>
            </w:r>
          </w:p>
        </w:tc>
        <w:tc>
          <w:tcPr>
            <w:tcW w:w="1180" w:type="dxa"/>
            <w:tcBorders>
              <w:top w:val="nil"/>
              <w:left w:val="nil"/>
              <w:bottom w:val="nil"/>
              <w:right w:val="nil"/>
            </w:tcBorders>
            <w:shd w:val="clear" w:color="auto" w:fill="auto"/>
            <w:noWrap/>
            <w:vAlign w:val="bottom"/>
            <w:hideMark/>
          </w:tcPr>
          <w:p w:rsidR="00804968" w:rsidRPr="006552E9" w:rsidRDefault="00FF4EBE" w:rsidP="0087298E">
            <w:pPr>
              <w:spacing w:before="0"/>
              <w:jc w:val="right"/>
              <w:rPr>
                <w:rFonts w:cs="Arial"/>
                <w:sz w:val="20"/>
                <w:szCs w:val="20"/>
              </w:rPr>
            </w:pPr>
            <w:r w:rsidRPr="006552E9">
              <w:rPr>
                <w:rFonts w:cs="Arial"/>
                <w:sz w:val="20"/>
                <w:szCs w:val="20"/>
              </w:rPr>
              <w:t xml:space="preserve"> </w:t>
            </w:r>
            <w:r w:rsidR="00804968" w:rsidRPr="006552E9">
              <w:rPr>
                <w:rFonts w:cs="Arial"/>
                <w:sz w:val="20"/>
                <w:szCs w:val="20"/>
              </w:rPr>
              <w:t xml:space="preserve">8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sz w:val="20"/>
                <w:szCs w:val="20"/>
              </w:rPr>
            </w:pPr>
            <w:r w:rsidRPr="006552E9">
              <w:rPr>
                <w:rFonts w:cs="Arial"/>
                <w:sz w:val="20"/>
                <w:szCs w:val="20"/>
              </w:rPr>
              <w:t xml:space="preserve"> Later than five years </w:t>
            </w:r>
          </w:p>
        </w:tc>
        <w:tc>
          <w:tcPr>
            <w:tcW w:w="1180"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c>
          <w:tcPr>
            <w:tcW w:w="1180" w:type="dxa"/>
            <w:tcBorders>
              <w:top w:val="nil"/>
              <w:left w:val="nil"/>
              <w:bottom w:val="nil"/>
              <w:right w:val="nil"/>
            </w:tcBorders>
            <w:shd w:val="clear" w:color="auto" w:fill="auto"/>
            <w:noWrap/>
            <w:vAlign w:val="bottom"/>
            <w:hideMark/>
          </w:tcPr>
          <w:p w:rsidR="00804968" w:rsidRPr="006552E9" w:rsidRDefault="00C02722" w:rsidP="0087298E">
            <w:pPr>
              <w:spacing w:before="0"/>
              <w:jc w:val="right"/>
              <w:rPr>
                <w:rFonts w:cs="Arial"/>
                <w:sz w:val="20"/>
                <w:szCs w:val="20"/>
              </w:rPr>
            </w:pPr>
            <w:r>
              <w:rPr>
                <w:rFonts w:cs="Arial"/>
                <w:sz w:val="20"/>
                <w:szCs w:val="20"/>
              </w:rPr>
              <w:t xml:space="preserve"> </w:t>
            </w:r>
            <w:r w:rsidR="00877D63">
              <w:rPr>
                <w:rFonts w:cs="Arial"/>
                <w:sz w:val="20"/>
                <w:szCs w:val="20"/>
              </w:rPr>
              <w:t>–</w:t>
            </w:r>
            <w:r w:rsidR="00FF4EBE" w:rsidRPr="006552E9">
              <w:rPr>
                <w:rFonts w:cs="Arial"/>
                <w:sz w:val="20"/>
                <w:szCs w:val="20"/>
              </w:rPr>
              <w:t xml:space="preserve"> </w:t>
            </w:r>
          </w:p>
        </w:tc>
      </w:tr>
      <w:tr w:rsidR="00804968" w:rsidRPr="006552E9" w:rsidTr="00804968">
        <w:trPr>
          <w:trHeight w:val="255"/>
        </w:trPr>
        <w:tc>
          <w:tcPr>
            <w:tcW w:w="6800" w:type="dxa"/>
            <w:tcBorders>
              <w:top w:val="nil"/>
              <w:left w:val="nil"/>
              <w:bottom w:val="nil"/>
              <w:right w:val="nil"/>
            </w:tcBorders>
            <w:shd w:val="clear" w:color="auto" w:fill="auto"/>
            <w:noWrap/>
            <w:vAlign w:val="bottom"/>
            <w:hideMark/>
          </w:tcPr>
          <w:p w:rsidR="00804968" w:rsidRPr="006552E9" w:rsidRDefault="00804968" w:rsidP="00804968">
            <w:pPr>
              <w:spacing w:before="0"/>
              <w:jc w:val="left"/>
              <w:rPr>
                <w:rFonts w:cs="Arial"/>
                <w:b/>
                <w:bCs/>
                <w:sz w:val="20"/>
                <w:szCs w:val="20"/>
              </w:rPr>
            </w:pPr>
            <w:r w:rsidRPr="006552E9">
              <w:rPr>
                <w:rFonts w:cs="Arial"/>
                <w:b/>
                <w:bCs/>
                <w:sz w:val="20"/>
                <w:szCs w:val="20"/>
              </w:rPr>
              <w:t xml:space="preserve"> Total non-cancellable operating leases receivable </w:t>
            </w:r>
          </w:p>
        </w:tc>
        <w:tc>
          <w:tcPr>
            <w:tcW w:w="118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29 </w:t>
            </w:r>
          </w:p>
        </w:tc>
        <w:tc>
          <w:tcPr>
            <w:tcW w:w="1180" w:type="dxa"/>
            <w:tcBorders>
              <w:top w:val="single" w:sz="4" w:space="0" w:color="auto"/>
              <w:left w:val="nil"/>
              <w:bottom w:val="single" w:sz="4" w:space="0" w:color="auto"/>
              <w:right w:val="nil"/>
            </w:tcBorders>
            <w:shd w:val="clear" w:color="auto" w:fill="auto"/>
            <w:noWrap/>
            <w:vAlign w:val="bottom"/>
            <w:hideMark/>
          </w:tcPr>
          <w:p w:rsidR="00804968" w:rsidRPr="006552E9" w:rsidRDefault="00FF4EBE" w:rsidP="0087298E">
            <w:pPr>
              <w:spacing w:before="0"/>
              <w:jc w:val="right"/>
              <w:rPr>
                <w:rFonts w:cs="Arial"/>
                <w:b/>
                <w:bCs/>
                <w:sz w:val="20"/>
                <w:szCs w:val="20"/>
              </w:rPr>
            </w:pPr>
            <w:r w:rsidRPr="006552E9">
              <w:rPr>
                <w:rFonts w:cs="Arial"/>
                <w:b/>
                <w:bCs/>
                <w:sz w:val="20"/>
                <w:szCs w:val="20"/>
              </w:rPr>
              <w:t xml:space="preserve"> </w:t>
            </w:r>
            <w:r w:rsidR="00804968" w:rsidRPr="006552E9">
              <w:rPr>
                <w:rFonts w:cs="Arial"/>
                <w:b/>
                <w:bCs/>
                <w:sz w:val="20"/>
                <w:szCs w:val="20"/>
              </w:rPr>
              <w:t xml:space="preserve">32 </w:t>
            </w:r>
          </w:p>
        </w:tc>
      </w:tr>
    </w:tbl>
    <w:p w:rsidR="00804968" w:rsidRPr="006552E9" w:rsidRDefault="00804968" w:rsidP="00804968">
      <w:r w:rsidRPr="006552E9">
        <w:t>Creative New Zealand leases out part of the Old Public Trust Building under an operating lease. After the 21 July 2013 earthquake in Wellington, the tenant vacated the building, which removes</w:t>
      </w:r>
      <w:r w:rsidR="00FF4EBE" w:rsidRPr="006552E9">
        <w:t xml:space="preserve"> the </w:t>
      </w:r>
      <w:r w:rsidRPr="006552E9">
        <w:t>$18,000 receivable not later than one year under the operating lease.</w:t>
      </w:r>
    </w:p>
    <w:p w:rsidR="0029526F" w:rsidRPr="006552E9" w:rsidRDefault="0029526F" w:rsidP="00E22C83">
      <w:pPr>
        <w:pStyle w:val="Style1"/>
      </w:pPr>
      <w:r w:rsidRPr="006552E9">
        <w:t>24.</w:t>
      </w:r>
      <w:r w:rsidRPr="006552E9">
        <w:tab/>
        <w:t>Contingent liabilities</w:t>
      </w:r>
    </w:p>
    <w:p w:rsidR="00913826" w:rsidRPr="006552E9" w:rsidRDefault="00030A94" w:rsidP="00913826">
      <w:pPr>
        <w:pStyle w:val="Heading4"/>
      </w:pPr>
      <w:r w:rsidRPr="006552E9">
        <w:t>24.1</w:t>
      </w:r>
      <w:r w:rsidRPr="006552E9">
        <w:tab/>
      </w:r>
      <w:r w:rsidR="00913826" w:rsidRPr="006552E9">
        <w:t>The Old Public Trust Building</w:t>
      </w:r>
    </w:p>
    <w:p w:rsidR="00913826" w:rsidRPr="006552E9" w:rsidRDefault="00913826" w:rsidP="00913826">
      <w:r w:rsidRPr="006552E9">
        <w:t>In April 2010</w:t>
      </w:r>
      <w:r w:rsidR="0087298E" w:rsidRPr="006552E9">
        <w:t>,</w:t>
      </w:r>
      <w:r w:rsidRPr="006552E9">
        <w:t xml:space="preserve"> Creative New Ze</w:t>
      </w:r>
      <w:r w:rsidR="0087298E" w:rsidRPr="006552E9">
        <w:t>a</w:t>
      </w:r>
      <w:r w:rsidRPr="006552E9">
        <w:t>land and other members of the Old Public Trust Building Body Corporate were notified by the Wellington City Council</w:t>
      </w:r>
      <w:r w:rsidR="0087298E" w:rsidRPr="006552E9">
        <w:t>,</w:t>
      </w:r>
      <w:r w:rsidRPr="006552E9">
        <w:t xml:space="preserve"> pursuant to </w:t>
      </w:r>
      <w:r w:rsidR="000B4830">
        <w:t xml:space="preserve">section </w:t>
      </w:r>
      <w:r w:rsidRPr="006552E9">
        <w:t>124 of the Building Act 2004</w:t>
      </w:r>
      <w:r w:rsidR="0087298E" w:rsidRPr="006552E9">
        <w:t>,</w:t>
      </w:r>
      <w:r w:rsidRPr="006552E9">
        <w:t xml:space="preserve"> that the Old Public Trust Building ha</w:t>
      </w:r>
      <w:r w:rsidR="0087298E" w:rsidRPr="006552E9">
        <w:t>d</w:t>
      </w:r>
      <w:r w:rsidRPr="006552E9">
        <w:t xml:space="preserve"> been classified as earthquake prone.</w:t>
      </w:r>
    </w:p>
    <w:p w:rsidR="0029526F" w:rsidRPr="006552E9" w:rsidRDefault="00913826" w:rsidP="00913826">
      <w:r w:rsidRPr="006552E9">
        <w:t>The Building Act 2004 and the associated Wellington City Council Earthquake Prone Buildings policy would suggest</w:t>
      </w:r>
      <w:r w:rsidR="0087298E" w:rsidRPr="006552E9">
        <w:t xml:space="preserve"> </w:t>
      </w:r>
      <w:r w:rsidRPr="006552E9">
        <w:t>that significant upgrade of the Old Public Trust Building is required within a 10</w:t>
      </w:r>
      <w:r w:rsidR="000B4830">
        <w:t xml:space="preserve"> to </w:t>
      </w:r>
      <w:r w:rsidRPr="006552E9">
        <w:t xml:space="preserve">15 year period; however some discretion is permitted for heritage buildings. The Old Public Trust Building is a </w:t>
      </w:r>
      <w:r w:rsidR="001E1C2F" w:rsidRPr="006552E9">
        <w:t xml:space="preserve">Category </w:t>
      </w:r>
      <w:r w:rsidRPr="006552E9">
        <w:t>1 Heritage Place.</w:t>
      </w:r>
    </w:p>
    <w:p w:rsidR="00913826" w:rsidRPr="006552E9" w:rsidRDefault="00913826" w:rsidP="00913826">
      <w:r w:rsidRPr="006552E9">
        <w:t xml:space="preserve">The Old Public Trust Building Body Corporate commissioned a report on </w:t>
      </w:r>
      <w:r w:rsidR="000B4830">
        <w:t xml:space="preserve">the </w:t>
      </w:r>
      <w:r w:rsidRPr="006552E9">
        <w:t xml:space="preserve">seismic strengthening feasibility design of the </w:t>
      </w:r>
      <w:r w:rsidR="000B4830" w:rsidRPr="006552E9">
        <w:t>building</w:t>
      </w:r>
      <w:r w:rsidRPr="006552E9">
        <w:t>. The report was completed by Dunning Thornton in September 2012. The costs of the strengthening, facade restoration, decanting and fit-out of the Old Public Trust Building were estimated between $4.6 million and $9.4</w:t>
      </w:r>
      <w:r w:rsidR="000B4830">
        <w:t> </w:t>
      </w:r>
      <w:r w:rsidRPr="006552E9">
        <w:t>million. Creative New Zealand's share of the estimated costs would be 60</w:t>
      </w:r>
      <w:r w:rsidR="0016706E">
        <w:t xml:space="preserve"> percent</w:t>
      </w:r>
      <w:r w:rsidRPr="006552E9">
        <w:t xml:space="preserve"> (based on the Unit Titles Act 2010), ranging between $2.7 million and $5.6 million, with the other members of the Body Corporate liable for the balance.</w:t>
      </w:r>
    </w:p>
    <w:p w:rsidR="00913826" w:rsidRPr="006552E9" w:rsidRDefault="00913826" w:rsidP="00913826">
      <w:r w:rsidRPr="006552E9">
        <w:t xml:space="preserve">After the 21 July 2013 earthquake in Wellington, the Old Public Trust Building has been vacated by all tenants. </w:t>
      </w:r>
    </w:p>
    <w:p w:rsidR="00913826" w:rsidRPr="006552E9" w:rsidRDefault="00913826" w:rsidP="00913826">
      <w:r w:rsidRPr="006552E9">
        <w:t xml:space="preserve">At the August 2013 meeting, the </w:t>
      </w:r>
      <w:r w:rsidR="000B4830">
        <w:t xml:space="preserve">Arts </w:t>
      </w:r>
      <w:r w:rsidRPr="006552E9">
        <w:t xml:space="preserve">Council agreed that Creative New Zealand sell its share in the </w:t>
      </w:r>
      <w:r w:rsidR="000B4830" w:rsidRPr="006552E9">
        <w:t>building</w:t>
      </w:r>
      <w:r w:rsidRPr="006552E9">
        <w:t>, subject to obtaining necessary authorisation from the Crown, and that all members of the Body Corporate place the property on the market.</w:t>
      </w:r>
    </w:p>
    <w:p w:rsidR="00913826" w:rsidRPr="006552E9" w:rsidRDefault="00030A94" w:rsidP="00913826">
      <w:pPr>
        <w:pStyle w:val="Heading4"/>
      </w:pPr>
      <w:r w:rsidRPr="006552E9">
        <w:t>24.2</w:t>
      </w:r>
      <w:r w:rsidRPr="006552E9">
        <w:tab/>
      </w:r>
      <w:r w:rsidR="00913826" w:rsidRPr="006552E9">
        <w:t>Waterfront Theatre project by Auckland Theatre Company</w:t>
      </w:r>
    </w:p>
    <w:p w:rsidR="00913826" w:rsidRPr="006552E9" w:rsidRDefault="00913826" w:rsidP="00913826">
      <w:r w:rsidRPr="006552E9">
        <w:t xml:space="preserve">At the September 2012 meeting, the </w:t>
      </w:r>
      <w:r w:rsidR="000B4830">
        <w:t xml:space="preserve">Arts </w:t>
      </w:r>
      <w:r w:rsidRPr="006552E9">
        <w:t xml:space="preserve">Council approved the allocation of $3.0 million, spread evenly over the 2012/13 and 2013/14 financial years, to the Auckland Theatre Company towards the Waterfront Theatre </w:t>
      </w:r>
      <w:r w:rsidR="00030A94" w:rsidRPr="006552E9">
        <w:t>project</w:t>
      </w:r>
      <w:r w:rsidRPr="006552E9">
        <w:t>. This investment is a result of the additional income from the New Zealand Lottery Grants Board and has been identified as supporting government priorities.</w:t>
      </w:r>
    </w:p>
    <w:p w:rsidR="00913826" w:rsidRPr="006552E9" w:rsidRDefault="00913826" w:rsidP="00913826">
      <w:r w:rsidRPr="006552E9">
        <w:t>The allocation is payable to the Ministry for Culture and Heritage for payment to the Auckland Theatre Company, and is conditional on:</w:t>
      </w:r>
    </w:p>
    <w:p w:rsidR="00913826" w:rsidRPr="006552E9" w:rsidRDefault="00913826" w:rsidP="00030A94">
      <w:pPr>
        <w:pStyle w:val="Bullet"/>
      </w:pPr>
      <w:r w:rsidRPr="006552E9">
        <w:t>the balance of the total funding required for the project being confirmed</w:t>
      </w:r>
    </w:p>
    <w:p w:rsidR="00D345C4" w:rsidRDefault="00913826" w:rsidP="00030A94">
      <w:pPr>
        <w:pStyle w:val="Bullet"/>
      </w:pPr>
      <w:r w:rsidRPr="006552E9">
        <w:t xml:space="preserve">the Ministry being satisfied with the </w:t>
      </w:r>
      <w:r w:rsidR="00D345C4" w:rsidRPr="006552E9">
        <w:t xml:space="preserve">business case </w:t>
      </w:r>
      <w:r w:rsidRPr="006552E9">
        <w:t xml:space="preserve">for the project </w:t>
      </w:r>
    </w:p>
    <w:p w:rsidR="00913826" w:rsidRPr="006552E9" w:rsidRDefault="00913826" w:rsidP="00030A94">
      <w:pPr>
        <w:pStyle w:val="Bullet"/>
      </w:pPr>
      <w:r w:rsidRPr="006552E9">
        <w:t>Creative New Zealand being satisfied with the proposed new operating model for the Auckland Theatre Company.</w:t>
      </w:r>
    </w:p>
    <w:p w:rsidR="00913826" w:rsidRPr="006552E9" w:rsidRDefault="00913826" w:rsidP="00913826">
      <w:r w:rsidRPr="006552E9">
        <w:t>At 30 June 2013</w:t>
      </w:r>
      <w:r w:rsidR="00D345C4">
        <w:t>,</w:t>
      </w:r>
      <w:r w:rsidRPr="006552E9">
        <w:t xml:space="preserve"> the funding conditions ha</w:t>
      </w:r>
      <w:r w:rsidR="00D345C4">
        <w:t>d</w:t>
      </w:r>
      <w:r w:rsidRPr="006552E9">
        <w:t xml:space="preserve"> not been met, with Auckland Theatre Company still in the process of confirming the balance of the fundraising target.</w:t>
      </w:r>
    </w:p>
    <w:p w:rsidR="00913826" w:rsidRPr="006552E9" w:rsidRDefault="00030A94" w:rsidP="00913826">
      <w:pPr>
        <w:pStyle w:val="Heading4"/>
      </w:pPr>
      <w:r w:rsidRPr="006552E9">
        <w:t>24.3</w:t>
      </w:r>
      <w:r w:rsidRPr="006552E9">
        <w:tab/>
      </w:r>
      <w:r w:rsidR="00913826" w:rsidRPr="006552E9">
        <w:t>Bank guarantees</w:t>
      </w:r>
    </w:p>
    <w:tbl>
      <w:tblPr>
        <w:tblW w:w="9087" w:type="dxa"/>
        <w:tblInd w:w="93" w:type="dxa"/>
        <w:tblLook w:val="04A0" w:firstRow="1" w:lastRow="0" w:firstColumn="1" w:lastColumn="0" w:noHBand="0" w:noVBand="1"/>
      </w:tblPr>
      <w:tblGrid>
        <w:gridCol w:w="6819"/>
        <w:gridCol w:w="1134"/>
        <w:gridCol w:w="1134"/>
      </w:tblGrid>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b/>
                <w:bCs/>
                <w:sz w:val="20"/>
                <w:szCs w:val="20"/>
              </w:rPr>
            </w:pPr>
          </w:p>
        </w:tc>
        <w:tc>
          <w:tcPr>
            <w:tcW w:w="1134" w:type="dxa"/>
            <w:tcBorders>
              <w:top w:val="nil"/>
              <w:left w:val="nil"/>
              <w:bottom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ACTUAL </w:t>
            </w:r>
          </w:p>
        </w:tc>
        <w:tc>
          <w:tcPr>
            <w:tcW w:w="1134" w:type="dxa"/>
            <w:tcBorders>
              <w:top w:val="nil"/>
              <w:left w:val="nil"/>
              <w:bottom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ACTUAL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b/>
                <w:bCs/>
                <w:sz w:val="20"/>
                <w:szCs w:val="20"/>
              </w:rPr>
            </w:pPr>
          </w:p>
        </w:tc>
        <w:tc>
          <w:tcPr>
            <w:tcW w:w="1134" w:type="dxa"/>
            <w:tcBorders>
              <w:top w:val="nil"/>
              <w:left w:val="nil"/>
              <w:bottom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2013 </w:t>
            </w:r>
          </w:p>
        </w:tc>
        <w:tc>
          <w:tcPr>
            <w:tcW w:w="1134" w:type="dxa"/>
            <w:tcBorders>
              <w:top w:val="nil"/>
              <w:left w:val="nil"/>
              <w:bottom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2012 </w:t>
            </w:r>
          </w:p>
        </w:tc>
      </w:tr>
      <w:tr w:rsidR="00913826" w:rsidRPr="006552E9" w:rsidTr="00030A94">
        <w:trPr>
          <w:trHeight w:val="255"/>
        </w:trPr>
        <w:tc>
          <w:tcPr>
            <w:tcW w:w="6819" w:type="dxa"/>
            <w:tcBorders>
              <w:top w:val="nil"/>
              <w:left w:val="nil"/>
              <w:bottom w:val="single" w:sz="4" w:space="0" w:color="auto"/>
              <w:right w:val="nil"/>
            </w:tcBorders>
            <w:shd w:val="clear" w:color="auto" w:fill="auto"/>
            <w:noWrap/>
            <w:vAlign w:val="bottom"/>
            <w:hideMark/>
          </w:tcPr>
          <w:p w:rsidR="00913826" w:rsidRPr="006552E9" w:rsidRDefault="00913826" w:rsidP="00913826">
            <w:pPr>
              <w:spacing w:before="0"/>
              <w:jc w:val="left"/>
              <w:rPr>
                <w:rFonts w:cs="Arial"/>
                <w:b/>
                <w:bCs/>
                <w:sz w:val="20"/>
                <w:szCs w:val="20"/>
              </w:rPr>
            </w:pPr>
            <w:r w:rsidRPr="006552E9">
              <w:rPr>
                <w:rFonts w:cs="Arial"/>
                <w:b/>
                <w:bCs/>
                <w:sz w:val="20"/>
                <w:szCs w:val="20"/>
              </w:rPr>
              <w:t> </w:t>
            </w:r>
          </w:p>
        </w:tc>
        <w:tc>
          <w:tcPr>
            <w:tcW w:w="1134" w:type="dxa"/>
            <w:tcBorders>
              <w:top w:val="nil"/>
              <w:left w:val="nil"/>
              <w:bottom w:val="single" w:sz="4" w:space="0" w:color="auto"/>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$000 </w:t>
            </w:r>
          </w:p>
        </w:tc>
        <w:tc>
          <w:tcPr>
            <w:tcW w:w="1134" w:type="dxa"/>
            <w:tcBorders>
              <w:top w:val="nil"/>
              <w:left w:val="nil"/>
              <w:bottom w:val="single" w:sz="4" w:space="0" w:color="auto"/>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$000 </w:t>
            </w:r>
          </w:p>
        </w:tc>
      </w:tr>
      <w:tr w:rsidR="00913826" w:rsidRPr="006552E9" w:rsidTr="00472253">
        <w:trPr>
          <w:trHeight w:val="510"/>
        </w:trPr>
        <w:tc>
          <w:tcPr>
            <w:tcW w:w="6819" w:type="dxa"/>
            <w:tcBorders>
              <w:top w:val="nil"/>
              <w:left w:val="nil"/>
              <w:bottom w:val="nil"/>
              <w:right w:val="nil"/>
            </w:tcBorders>
            <w:shd w:val="clear" w:color="auto" w:fill="auto"/>
            <w:vAlign w:val="bottom"/>
            <w:hideMark/>
          </w:tcPr>
          <w:p w:rsidR="00913826" w:rsidRPr="006552E9" w:rsidRDefault="00913826" w:rsidP="00030A94">
            <w:pPr>
              <w:spacing w:before="0"/>
              <w:jc w:val="left"/>
              <w:rPr>
                <w:rFonts w:cs="Arial"/>
                <w:sz w:val="20"/>
                <w:szCs w:val="20"/>
              </w:rPr>
            </w:pPr>
            <w:r w:rsidRPr="006552E9">
              <w:rPr>
                <w:rFonts w:cs="Arial"/>
                <w:sz w:val="20"/>
                <w:szCs w:val="20"/>
              </w:rPr>
              <w:t xml:space="preserve">Bank of New Zealand Letter of Credit </w:t>
            </w:r>
            <w:r w:rsidR="00030A94" w:rsidRPr="006552E9">
              <w:rPr>
                <w:rFonts w:cs="Arial"/>
                <w:sz w:val="20"/>
                <w:szCs w:val="20"/>
              </w:rPr>
              <w:t>–</w:t>
            </w:r>
            <w:r w:rsidRPr="006552E9">
              <w:rPr>
                <w:rFonts w:cs="Arial"/>
                <w:sz w:val="20"/>
                <w:szCs w:val="20"/>
              </w:rPr>
              <w:t xml:space="preserve"> Datacom Employer Services Limited</w:t>
            </w:r>
          </w:p>
        </w:tc>
        <w:tc>
          <w:tcPr>
            <w:tcW w:w="1134" w:type="dxa"/>
            <w:tcBorders>
              <w:top w:val="nil"/>
              <w:left w:val="nil"/>
              <w:bottom w:val="nil"/>
              <w:right w:val="nil"/>
            </w:tcBorders>
            <w:shd w:val="clear" w:color="auto" w:fill="auto"/>
            <w:noWrap/>
            <w:hideMark/>
          </w:tcPr>
          <w:p w:rsidR="00913826" w:rsidRPr="006552E9" w:rsidRDefault="0087298E" w:rsidP="00472253">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150 </w:t>
            </w:r>
          </w:p>
        </w:tc>
        <w:tc>
          <w:tcPr>
            <w:tcW w:w="1134" w:type="dxa"/>
            <w:tcBorders>
              <w:top w:val="nil"/>
              <w:left w:val="nil"/>
              <w:bottom w:val="nil"/>
              <w:right w:val="nil"/>
            </w:tcBorders>
            <w:shd w:val="clear" w:color="auto" w:fill="auto"/>
            <w:noWrap/>
            <w:hideMark/>
          </w:tcPr>
          <w:p w:rsidR="00913826" w:rsidRPr="006552E9" w:rsidRDefault="0087298E" w:rsidP="00472253">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150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030A94">
            <w:pPr>
              <w:spacing w:before="0"/>
              <w:jc w:val="left"/>
              <w:rPr>
                <w:rFonts w:cs="Arial"/>
                <w:sz w:val="20"/>
                <w:szCs w:val="20"/>
              </w:rPr>
            </w:pPr>
            <w:r w:rsidRPr="006552E9">
              <w:rPr>
                <w:rFonts w:cs="Arial"/>
                <w:sz w:val="20"/>
                <w:szCs w:val="20"/>
              </w:rPr>
              <w:t xml:space="preserve">Bank of New Zealand </w:t>
            </w:r>
            <w:r w:rsidR="00030A94" w:rsidRPr="006552E9">
              <w:rPr>
                <w:rFonts w:cs="Arial"/>
                <w:sz w:val="20"/>
                <w:szCs w:val="20"/>
              </w:rPr>
              <w:t>–</w:t>
            </w:r>
            <w:r w:rsidRPr="006552E9">
              <w:rPr>
                <w:rFonts w:cs="Arial"/>
                <w:sz w:val="20"/>
                <w:szCs w:val="20"/>
              </w:rPr>
              <w:t xml:space="preserve"> Wellington Regional Chamber of Commerce</w:t>
            </w:r>
          </w:p>
        </w:tc>
        <w:tc>
          <w:tcPr>
            <w:tcW w:w="1134" w:type="dxa"/>
            <w:tcBorders>
              <w:top w:val="nil"/>
              <w:left w:val="nil"/>
              <w:bottom w:val="nil"/>
              <w:right w:val="nil"/>
            </w:tcBorders>
            <w:shd w:val="clear" w:color="auto" w:fill="auto"/>
            <w:noWrap/>
            <w:vAlign w:val="bottom"/>
            <w:hideMark/>
          </w:tcPr>
          <w:p w:rsidR="00913826" w:rsidRPr="006552E9" w:rsidRDefault="00C02722" w:rsidP="00030A94">
            <w:pPr>
              <w:spacing w:before="0"/>
              <w:jc w:val="right"/>
              <w:rPr>
                <w:rFonts w:cs="Arial"/>
                <w:sz w:val="20"/>
                <w:szCs w:val="20"/>
              </w:rPr>
            </w:pPr>
            <w:r>
              <w:rPr>
                <w:rFonts w:cs="Arial"/>
                <w:sz w:val="20"/>
                <w:szCs w:val="20"/>
              </w:rPr>
              <w:t xml:space="preserve"> </w:t>
            </w:r>
            <w:r w:rsidR="00877D63">
              <w:rPr>
                <w:rFonts w:cs="Arial"/>
                <w:sz w:val="20"/>
                <w:szCs w:val="20"/>
              </w:rPr>
              <w:t>–</w:t>
            </w:r>
            <w:r w:rsidR="0087298E" w:rsidRPr="006552E9">
              <w:rPr>
                <w:rFonts w:cs="Arial"/>
                <w:sz w:val="20"/>
                <w:szCs w:val="20"/>
              </w:rPr>
              <w:t xml:space="preserve">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597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sz w:val="20"/>
                <w:szCs w:val="20"/>
              </w:rPr>
            </w:pPr>
          </w:p>
        </w:tc>
        <w:tc>
          <w:tcPr>
            <w:tcW w:w="1134" w:type="dxa"/>
            <w:tcBorders>
              <w:top w:val="single" w:sz="4" w:space="0" w:color="auto"/>
              <w:left w:val="nil"/>
              <w:bottom w:val="single" w:sz="4" w:space="0" w:color="auto"/>
              <w:right w:val="nil"/>
            </w:tcBorders>
            <w:shd w:val="clear" w:color="auto" w:fill="auto"/>
            <w:noWrap/>
            <w:vAlign w:val="bottom"/>
            <w:hideMark/>
          </w:tcPr>
          <w:p w:rsidR="00913826" w:rsidRPr="006552E9" w:rsidRDefault="0087298E" w:rsidP="00030A94">
            <w:pPr>
              <w:spacing w:before="0"/>
              <w:jc w:val="right"/>
              <w:rPr>
                <w:rFonts w:cs="Arial"/>
                <w:b/>
                <w:bCs/>
                <w:sz w:val="20"/>
                <w:szCs w:val="20"/>
              </w:rPr>
            </w:pPr>
            <w:r w:rsidRPr="006552E9">
              <w:rPr>
                <w:rFonts w:cs="Arial"/>
                <w:b/>
                <w:bCs/>
                <w:sz w:val="20"/>
                <w:szCs w:val="20"/>
              </w:rPr>
              <w:t xml:space="preserve"> </w:t>
            </w:r>
            <w:r w:rsidR="00913826" w:rsidRPr="006552E9">
              <w:rPr>
                <w:rFonts w:cs="Arial"/>
                <w:b/>
                <w:bCs/>
                <w:sz w:val="20"/>
                <w:szCs w:val="20"/>
              </w:rPr>
              <w:t xml:space="preserve">150 </w:t>
            </w:r>
          </w:p>
        </w:tc>
        <w:tc>
          <w:tcPr>
            <w:tcW w:w="1134" w:type="dxa"/>
            <w:tcBorders>
              <w:top w:val="single" w:sz="4" w:space="0" w:color="auto"/>
              <w:left w:val="nil"/>
              <w:bottom w:val="single" w:sz="4" w:space="0" w:color="auto"/>
              <w:right w:val="nil"/>
            </w:tcBorders>
            <w:shd w:val="clear" w:color="auto" w:fill="auto"/>
            <w:noWrap/>
            <w:vAlign w:val="bottom"/>
            <w:hideMark/>
          </w:tcPr>
          <w:p w:rsidR="00913826" w:rsidRPr="006552E9" w:rsidRDefault="0087298E" w:rsidP="00030A94">
            <w:pPr>
              <w:spacing w:before="0"/>
              <w:jc w:val="right"/>
              <w:rPr>
                <w:rFonts w:cs="Arial"/>
                <w:b/>
                <w:bCs/>
                <w:sz w:val="20"/>
                <w:szCs w:val="20"/>
              </w:rPr>
            </w:pPr>
            <w:r w:rsidRPr="006552E9">
              <w:rPr>
                <w:rFonts w:cs="Arial"/>
                <w:b/>
                <w:bCs/>
                <w:sz w:val="20"/>
                <w:szCs w:val="20"/>
              </w:rPr>
              <w:t xml:space="preserve"> </w:t>
            </w:r>
            <w:r w:rsidR="00913826" w:rsidRPr="006552E9">
              <w:rPr>
                <w:rFonts w:cs="Arial"/>
                <w:b/>
                <w:bCs/>
                <w:sz w:val="20"/>
                <w:szCs w:val="20"/>
              </w:rPr>
              <w:t xml:space="preserve">747 </w:t>
            </w:r>
          </w:p>
        </w:tc>
      </w:tr>
    </w:tbl>
    <w:p w:rsidR="00913826" w:rsidRPr="006552E9" w:rsidRDefault="00913826" w:rsidP="00913826">
      <w:r w:rsidRPr="006552E9">
        <w:t>The bank guarantees to Wellington Regional Chamber of Commerce of $0.597 million in 2012 related to an ATA Carnet bank indemnity. This carnet related to the exhibition items shipped to the Venice Biennale 2011 and subsequently to Musée du quai Branly in Paris.</w:t>
      </w:r>
    </w:p>
    <w:p w:rsidR="0029526F" w:rsidRPr="006552E9" w:rsidRDefault="0029526F" w:rsidP="00E22C83">
      <w:pPr>
        <w:pStyle w:val="Style1"/>
      </w:pPr>
      <w:r w:rsidRPr="006552E9">
        <w:t>25.</w:t>
      </w:r>
      <w:r w:rsidRPr="006552E9">
        <w:tab/>
        <w:t>Contingent assets</w:t>
      </w:r>
    </w:p>
    <w:p w:rsidR="0029526F" w:rsidRPr="006552E9" w:rsidRDefault="00913826" w:rsidP="00804968">
      <w:r w:rsidRPr="006552E9">
        <w:t>Creative New Zealand invoices grantees who are in default of their grant terms and conditions.</w:t>
      </w:r>
      <w:r w:rsidR="0087298E" w:rsidRPr="006552E9">
        <w:t xml:space="preserve"> </w:t>
      </w:r>
      <w:r w:rsidRPr="006552E9">
        <w:t>As a result of invoicing, the grantee could produce a satisfactory acquittal report or repay the grant.</w:t>
      </w:r>
      <w:r w:rsidR="0087298E" w:rsidRPr="006552E9">
        <w:t xml:space="preserve"> </w:t>
      </w:r>
      <w:r w:rsidRPr="006552E9">
        <w:t>If a satisfactory acquittal report is provided then the repayment of the grant will not be pursued.</w:t>
      </w:r>
      <w:r w:rsidR="0087298E" w:rsidRPr="006552E9">
        <w:t xml:space="preserve"> </w:t>
      </w:r>
      <w:r w:rsidRPr="006552E9">
        <w:t>It is not possible to reliably estimate the amount recoverable on these invoices, therefore amounts invoiced during the financial year and not paid as at 30 June have not been recognised in the Statement of Financial Position. Instead the invoiced amounts are disclosed below as a contingent asset in accordance with NZ IAS 37.</w:t>
      </w:r>
    </w:p>
    <w:p w:rsidR="00913826" w:rsidRPr="006552E9" w:rsidRDefault="00913826" w:rsidP="00804968">
      <w:r w:rsidRPr="006552E9">
        <w:t>At 30 June</w:t>
      </w:r>
      <w:r w:rsidR="00D345C4">
        <w:t>, the</w:t>
      </w:r>
      <w:r w:rsidRPr="006552E9">
        <w:t xml:space="preserve"> total invoiced to grantees in a default position was as follows:</w:t>
      </w:r>
    </w:p>
    <w:p w:rsidR="00030A94" w:rsidRPr="006552E9" w:rsidRDefault="00030A94" w:rsidP="00030A94">
      <w:pPr>
        <w:pStyle w:val="Tabletext"/>
      </w:pPr>
    </w:p>
    <w:tbl>
      <w:tblPr>
        <w:tblW w:w="9087" w:type="dxa"/>
        <w:tblInd w:w="93" w:type="dxa"/>
        <w:tblLook w:val="04A0" w:firstRow="1" w:lastRow="0" w:firstColumn="1" w:lastColumn="0" w:noHBand="0" w:noVBand="1"/>
      </w:tblPr>
      <w:tblGrid>
        <w:gridCol w:w="6819"/>
        <w:gridCol w:w="1134"/>
        <w:gridCol w:w="1134"/>
      </w:tblGrid>
      <w:tr w:rsidR="00913826" w:rsidRPr="006552E9" w:rsidTr="00030A94">
        <w:trPr>
          <w:trHeight w:val="255"/>
        </w:trPr>
        <w:tc>
          <w:tcPr>
            <w:tcW w:w="6819" w:type="dxa"/>
            <w:tcBorders>
              <w:top w:val="nil"/>
              <w:left w:val="nil"/>
              <w:right w:val="nil"/>
            </w:tcBorders>
            <w:shd w:val="clear" w:color="auto" w:fill="auto"/>
            <w:noWrap/>
            <w:vAlign w:val="bottom"/>
            <w:hideMark/>
          </w:tcPr>
          <w:p w:rsidR="00913826" w:rsidRPr="006552E9" w:rsidRDefault="00913826" w:rsidP="00913826">
            <w:pPr>
              <w:spacing w:before="0"/>
              <w:jc w:val="left"/>
              <w:rPr>
                <w:rFonts w:cs="Arial"/>
                <w:sz w:val="20"/>
                <w:szCs w:val="20"/>
              </w:rPr>
            </w:pPr>
          </w:p>
        </w:tc>
        <w:tc>
          <w:tcPr>
            <w:tcW w:w="1134" w:type="dxa"/>
            <w:tcBorders>
              <w:top w:val="nil"/>
              <w:left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2013 </w:t>
            </w:r>
          </w:p>
        </w:tc>
        <w:tc>
          <w:tcPr>
            <w:tcW w:w="1134" w:type="dxa"/>
            <w:tcBorders>
              <w:top w:val="nil"/>
              <w:left w:val="nil"/>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2012 </w:t>
            </w:r>
          </w:p>
        </w:tc>
      </w:tr>
      <w:tr w:rsidR="00913826" w:rsidRPr="006552E9" w:rsidTr="00030A94">
        <w:trPr>
          <w:trHeight w:val="255"/>
        </w:trPr>
        <w:tc>
          <w:tcPr>
            <w:tcW w:w="6819" w:type="dxa"/>
            <w:tcBorders>
              <w:top w:val="nil"/>
              <w:left w:val="nil"/>
              <w:bottom w:val="single" w:sz="4" w:space="0" w:color="auto"/>
              <w:right w:val="nil"/>
            </w:tcBorders>
            <w:shd w:val="clear" w:color="auto" w:fill="auto"/>
            <w:noWrap/>
            <w:vAlign w:val="bottom"/>
            <w:hideMark/>
          </w:tcPr>
          <w:p w:rsidR="00913826" w:rsidRPr="006552E9" w:rsidRDefault="00913826" w:rsidP="00913826">
            <w:pPr>
              <w:spacing w:before="0"/>
              <w:jc w:val="left"/>
              <w:rPr>
                <w:rFonts w:cs="Arial"/>
                <w:b/>
                <w:bCs/>
                <w:sz w:val="20"/>
                <w:szCs w:val="20"/>
              </w:rPr>
            </w:pPr>
            <w:r w:rsidRPr="006552E9">
              <w:rPr>
                <w:rFonts w:cs="Arial"/>
                <w:b/>
                <w:bCs/>
                <w:sz w:val="20"/>
                <w:szCs w:val="20"/>
              </w:rPr>
              <w:t xml:space="preserve"> Granting </w:t>
            </w:r>
            <w:r w:rsidR="00D345C4" w:rsidRPr="006552E9">
              <w:rPr>
                <w:rFonts w:cs="Arial"/>
                <w:b/>
                <w:bCs/>
                <w:sz w:val="20"/>
                <w:szCs w:val="20"/>
              </w:rPr>
              <w:t>board or committe</w:t>
            </w:r>
            <w:r w:rsidRPr="006552E9">
              <w:rPr>
                <w:rFonts w:cs="Arial"/>
                <w:b/>
                <w:bCs/>
                <w:sz w:val="20"/>
                <w:szCs w:val="20"/>
              </w:rPr>
              <w:t xml:space="preserve">e </w:t>
            </w:r>
          </w:p>
        </w:tc>
        <w:tc>
          <w:tcPr>
            <w:tcW w:w="1134" w:type="dxa"/>
            <w:tcBorders>
              <w:top w:val="nil"/>
              <w:left w:val="nil"/>
              <w:bottom w:val="single" w:sz="4" w:space="0" w:color="auto"/>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$000 </w:t>
            </w:r>
          </w:p>
        </w:tc>
        <w:tc>
          <w:tcPr>
            <w:tcW w:w="1134" w:type="dxa"/>
            <w:tcBorders>
              <w:top w:val="nil"/>
              <w:left w:val="nil"/>
              <w:bottom w:val="single" w:sz="4" w:space="0" w:color="auto"/>
              <w:right w:val="nil"/>
            </w:tcBorders>
            <w:shd w:val="clear" w:color="auto" w:fill="auto"/>
            <w:noWrap/>
            <w:vAlign w:val="bottom"/>
            <w:hideMark/>
          </w:tcPr>
          <w:p w:rsidR="00913826" w:rsidRPr="006552E9" w:rsidRDefault="00913826" w:rsidP="00030A94">
            <w:pPr>
              <w:spacing w:before="0"/>
              <w:jc w:val="right"/>
              <w:rPr>
                <w:rFonts w:cs="Arial"/>
                <w:b/>
                <w:bCs/>
                <w:sz w:val="20"/>
                <w:szCs w:val="20"/>
              </w:rPr>
            </w:pPr>
            <w:r w:rsidRPr="006552E9">
              <w:rPr>
                <w:rFonts w:cs="Arial"/>
                <w:b/>
                <w:bCs/>
                <w:sz w:val="20"/>
                <w:szCs w:val="20"/>
              </w:rPr>
              <w:t xml:space="preserve"> $000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sz w:val="20"/>
                <w:szCs w:val="20"/>
              </w:rPr>
            </w:pPr>
            <w:r w:rsidRPr="006552E9">
              <w:rPr>
                <w:rFonts w:cs="Arial"/>
                <w:sz w:val="20"/>
                <w:szCs w:val="20"/>
              </w:rPr>
              <w:t xml:space="preserve"> Arts Board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21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17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sz w:val="20"/>
                <w:szCs w:val="20"/>
              </w:rPr>
            </w:pPr>
            <w:r w:rsidRPr="006552E9">
              <w:rPr>
                <w:rFonts w:cs="Arial"/>
                <w:sz w:val="20"/>
                <w:szCs w:val="20"/>
              </w:rPr>
              <w:t xml:space="preserve"> Te Waka Toi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40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42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sz w:val="20"/>
                <w:szCs w:val="20"/>
              </w:rPr>
            </w:pPr>
            <w:r w:rsidRPr="006552E9">
              <w:rPr>
                <w:rFonts w:cs="Arial"/>
                <w:sz w:val="20"/>
                <w:szCs w:val="20"/>
              </w:rPr>
              <w:t xml:space="preserve"> Pacific Arts Committee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47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65 </w:t>
            </w:r>
          </w:p>
        </w:tc>
      </w:tr>
      <w:tr w:rsidR="00913826" w:rsidRPr="006552E9" w:rsidTr="00030A94">
        <w:trPr>
          <w:trHeight w:val="255"/>
        </w:trPr>
        <w:tc>
          <w:tcPr>
            <w:tcW w:w="6819" w:type="dxa"/>
            <w:tcBorders>
              <w:top w:val="nil"/>
              <w:left w:val="nil"/>
              <w:bottom w:val="nil"/>
              <w:right w:val="nil"/>
            </w:tcBorders>
            <w:shd w:val="clear" w:color="auto" w:fill="auto"/>
            <w:noWrap/>
            <w:vAlign w:val="bottom"/>
            <w:hideMark/>
          </w:tcPr>
          <w:p w:rsidR="00913826" w:rsidRPr="006552E9" w:rsidRDefault="00913826" w:rsidP="00913826">
            <w:pPr>
              <w:spacing w:before="0"/>
              <w:jc w:val="left"/>
              <w:rPr>
                <w:rFonts w:cs="Arial"/>
                <w:sz w:val="20"/>
                <w:szCs w:val="20"/>
              </w:rPr>
            </w:pPr>
            <w:r w:rsidRPr="006552E9">
              <w:rPr>
                <w:rFonts w:cs="Arial"/>
                <w:sz w:val="20"/>
                <w:szCs w:val="20"/>
              </w:rPr>
              <w:t xml:space="preserve"> Council </w:t>
            </w:r>
          </w:p>
        </w:tc>
        <w:tc>
          <w:tcPr>
            <w:tcW w:w="1134" w:type="dxa"/>
            <w:tcBorders>
              <w:top w:val="nil"/>
              <w:left w:val="nil"/>
              <w:bottom w:val="nil"/>
              <w:right w:val="nil"/>
            </w:tcBorders>
            <w:shd w:val="clear" w:color="auto" w:fill="auto"/>
            <w:noWrap/>
            <w:vAlign w:val="bottom"/>
            <w:hideMark/>
          </w:tcPr>
          <w:p w:rsidR="00913826" w:rsidRPr="006552E9" w:rsidRDefault="0087298E" w:rsidP="00030A94">
            <w:pPr>
              <w:spacing w:before="0"/>
              <w:jc w:val="right"/>
              <w:rPr>
                <w:rFonts w:cs="Arial"/>
                <w:sz w:val="20"/>
                <w:szCs w:val="20"/>
              </w:rPr>
            </w:pPr>
            <w:r w:rsidRPr="006552E9">
              <w:rPr>
                <w:rFonts w:cs="Arial"/>
                <w:sz w:val="20"/>
                <w:szCs w:val="20"/>
              </w:rPr>
              <w:t xml:space="preserve"> </w:t>
            </w:r>
            <w:r w:rsidR="00913826" w:rsidRPr="006552E9">
              <w:rPr>
                <w:rFonts w:cs="Arial"/>
                <w:sz w:val="20"/>
                <w:szCs w:val="20"/>
              </w:rPr>
              <w:t xml:space="preserve">19 </w:t>
            </w:r>
          </w:p>
        </w:tc>
        <w:tc>
          <w:tcPr>
            <w:tcW w:w="1134" w:type="dxa"/>
            <w:tcBorders>
              <w:top w:val="nil"/>
              <w:left w:val="nil"/>
              <w:bottom w:val="nil"/>
              <w:right w:val="nil"/>
            </w:tcBorders>
            <w:shd w:val="clear" w:color="auto" w:fill="auto"/>
            <w:noWrap/>
            <w:vAlign w:val="bottom"/>
            <w:hideMark/>
          </w:tcPr>
          <w:p w:rsidR="00913826" w:rsidRPr="006552E9" w:rsidRDefault="00C02722" w:rsidP="00030A94">
            <w:pPr>
              <w:spacing w:before="0"/>
              <w:jc w:val="right"/>
              <w:rPr>
                <w:rFonts w:cs="Arial"/>
                <w:sz w:val="20"/>
                <w:szCs w:val="20"/>
              </w:rPr>
            </w:pPr>
            <w:r>
              <w:rPr>
                <w:rFonts w:cs="Arial"/>
                <w:sz w:val="20"/>
                <w:szCs w:val="20"/>
              </w:rPr>
              <w:t xml:space="preserve"> </w:t>
            </w:r>
            <w:r w:rsidR="00877D63">
              <w:rPr>
                <w:rFonts w:cs="Arial"/>
                <w:sz w:val="20"/>
                <w:szCs w:val="20"/>
              </w:rPr>
              <w:t>–</w:t>
            </w:r>
            <w:r w:rsidR="0087298E" w:rsidRPr="006552E9">
              <w:rPr>
                <w:rFonts w:cs="Arial"/>
                <w:sz w:val="20"/>
                <w:szCs w:val="20"/>
              </w:rPr>
              <w:t xml:space="preserve"> </w:t>
            </w:r>
          </w:p>
        </w:tc>
      </w:tr>
    </w:tbl>
    <w:p w:rsidR="0029526F" w:rsidRPr="006552E9" w:rsidRDefault="0029526F" w:rsidP="00E22C83">
      <w:pPr>
        <w:pStyle w:val="Style1"/>
      </w:pPr>
      <w:r w:rsidRPr="006552E9">
        <w:t>26.</w:t>
      </w:r>
      <w:r w:rsidRPr="006552E9">
        <w:tab/>
        <w:t>Related parties</w:t>
      </w:r>
    </w:p>
    <w:p w:rsidR="00913826" w:rsidRPr="006552E9" w:rsidRDefault="00913826" w:rsidP="00913826">
      <w:r w:rsidRPr="006552E9">
        <w:t>All related party transactions have been entered into on an arm’s length basis.</w:t>
      </w:r>
    </w:p>
    <w:p w:rsidR="00913826" w:rsidRPr="006552E9" w:rsidRDefault="00913826" w:rsidP="00913826">
      <w:r w:rsidRPr="006552E9">
        <w:t>Creative New Zealand is a wholly owned entity of the Crown.</w:t>
      </w:r>
    </w:p>
    <w:p w:rsidR="00913826" w:rsidRPr="006552E9" w:rsidRDefault="00913826" w:rsidP="00913826">
      <w:pPr>
        <w:pStyle w:val="Heading4"/>
      </w:pPr>
      <w:r w:rsidRPr="006552E9">
        <w:t>2</w:t>
      </w:r>
      <w:r w:rsidR="00DC31A7" w:rsidRPr="006552E9">
        <w:t>6</w:t>
      </w:r>
      <w:r w:rsidRPr="006552E9">
        <w:t>.1</w:t>
      </w:r>
      <w:r w:rsidRPr="006552E9">
        <w:tab/>
        <w:t>Significant transactions with government-related entities</w:t>
      </w:r>
    </w:p>
    <w:p w:rsidR="00913826" w:rsidRPr="006552E9" w:rsidRDefault="00913826" w:rsidP="00030A94">
      <w:r w:rsidRPr="006552E9">
        <w:t>Creative New Zealand has been provided with funding from the Crown through the Ministry for Culture and Heritage (note 2) of $15.689 million (2011: $15.689 million) for specific purposes as set out in its founding legislation and the scope of the relevant government appropriations.</w:t>
      </w:r>
    </w:p>
    <w:p w:rsidR="00913826" w:rsidRPr="006552E9" w:rsidRDefault="00913826" w:rsidP="00913826">
      <w:r w:rsidRPr="006552E9">
        <w:t>Creative New Zealand made a total payment of $0.668 million (2012: $1.183 million) to the Ministry for Culture and Heritage, out of which $0.605 million (2012: $1.105 million) has been provided in support of New Zealand’s literature, arts and culture programme at the Frankfurt Book Fair (2012 Guest Country of Honour). This investment was provided through the international funding and capability building programmes.</w:t>
      </w:r>
    </w:p>
    <w:p w:rsidR="00913826" w:rsidRPr="006552E9" w:rsidRDefault="00913826" w:rsidP="00913826">
      <w:r w:rsidRPr="006552E9">
        <w:t>Creative New Zealand has been provided with funding from the New Zealand Lottery Grants Board (note 3) of $31.0</w:t>
      </w:r>
      <w:r w:rsidR="00DC31A7" w:rsidRPr="006552E9">
        <w:t>24 million (2012: $</w:t>
      </w:r>
      <w:r w:rsidRPr="006552E9">
        <w:t xml:space="preserve">27.516 million). The Board was set up by Parliament to benefit the community by distributing the profits from the games run by the New Zealand Lotteries Commission. Lottery grants are administered by the Department of Internal Affairs. </w:t>
      </w:r>
    </w:p>
    <w:p w:rsidR="00913826" w:rsidRPr="006552E9" w:rsidRDefault="00913826" w:rsidP="00913826">
      <w:pPr>
        <w:pStyle w:val="Heading4"/>
        <w:ind w:left="720" w:hanging="720"/>
        <w:jc w:val="left"/>
      </w:pPr>
      <w:r w:rsidRPr="006552E9">
        <w:t>2</w:t>
      </w:r>
      <w:r w:rsidR="00DC31A7" w:rsidRPr="006552E9">
        <w:t>6</w:t>
      </w:r>
      <w:r w:rsidRPr="006552E9">
        <w:t>.2</w:t>
      </w:r>
      <w:r w:rsidRPr="006552E9">
        <w:tab/>
        <w:t>Collectively, but not individually, significant transactions with government-related entities</w:t>
      </w:r>
    </w:p>
    <w:p w:rsidR="00913826" w:rsidRPr="006552E9" w:rsidRDefault="00913826" w:rsidP="00913826">
      <w:r w:rsidRPr="006552E9">
        <w:t xml:space="preserve">In conducting its activities, Creative New Zealand is required to pay various taxes and levies (such as GST, fringe benefit tax, pay as you earn (income) tax and Accident Compensation Corporation levies) to the Crown and entities related to the Crown. The payment of these taxes and levies, other than income tax, is based on the standard terms and conditions that apply to all tax and levy payers. Creative New Zealand is exempt from paying income tax. </w:t>
      </w:r>
    </w:p>
    <w:p w:rsidR="00913826" w:rsidRPr="006552E9" w:rsidRDefault="00913826" w:rsidP="00913826">
      <w:r w:rsidRPr="006552E9">
        <w:t>Creative New Zealand also purchases goods and services from entities controlled, significantly influenced or jointly controlled by the Crown. Purchases from these government-related entities for the year ended 30 June 201</w:t>
      </w:r>
      <w:r w:rsidR="00DC31A7" w:rsidRPr="006552E9">
        <w:t>3</w:t>
      </w:r>
      <w:r w:rsidRPr="006552E9">
        <w:t xml:space="preserve"> totalled </w:t>
      </w:r>
      <w:r w:rsidR="00DC31A7" w:rsidRPr="006552E9">
        <w:t xml:space="preserve">$0.365 million (2012: </w:t>
      </w:r>
      <w:r w:rsidRPr="006552E9">
        <w:t>$0.415</w:t>
      </w:r>
      <w:r w:rsidR="00D345C4">
        <w:t> </w:t>
      </w:r>
      <w:r w:rsidRPr="006552E9">
        <w:t>million). These purchases include the purchase of electricity from Genesis Energy, air travel from Air New Zealand and postal services from New Zealand Post.</w:t>
      </w:r>
    </w:p>
    <w:p w:rsidR="00913826" w:rsidRPr="006552E9" w:rsidRDefault="00913826" w:rsidP="00913826">
      <w:pPr>
        <w:pStyle w:val="Heading4"/>
      </w:pPr>
      <w:r w:rsidRPr="006552E9">
        <w:t>2</w:t>
      </w:r>
      <w:r w:rsidR="00DC31A7" w:rsidRPr="006552E9">
        <w:t>6</w:t>
      </w:r>
      <w:r w:rsidRPr="006552E9">
        <w:t>.3</w:t>
      </w:r>
      <w:r w:rsidRPr="006552E9">
        <w:tab/>
        <w:t>Other related party transactions</w:t>
      </w:r>
    </w:p>
    <w:p w:rsidR="00913826" w:rsidRPr="006552E9" w:rsidRDefault="00913826" w:rsidP="00913826">
      <w:r w:rsidRPr="006552E9">
        <w:t xml:space="preserve">Creative New Zealand maintains interest registers for the Arts Council, the funding bodies (Arts Board, Te Waka Toi and Pacific Arts Committee) and staff to record any interests they may have in an entity or person </w:t>
      </w:r>
      <w:r w:rsidR="00D345C4">
        <w:t xml:space="preserve">who </w:t>
      </w:r>
      <w:r w:rsidRPr="006552E9">
        <w:t>is funded by, or contracted to, Creative New Zealand for services.</w:t>
      </w:r>
    </w:p>
    <w:p w:rsidR="00913826" w:rsidRPr="006552E9" w:rsidRDefault="00913826" w:rsidP="00913826">
      <w:r w:rsidRPr="006552E9">
        <w:t>Interests are declared and managed in line with Creative New Zealand’s conflict of interest policy and the Crown Entities Act 2004.</w:t>
      </w:r>
    </w:p>
    <w:p w:rsidR="00913826" w:rsidRPr="006552E9" w:rsidRDefault="00913826" w:rsidP="00913826">
      <w:r w:rsidRPr="006552E9">
        <w:t xml:space="preserve">The aggregate value of transactions and outstanding balances relating to key management personnel and entities or people </w:t>
      </w:r>
      <w:r w:rsidR="00D345C4">
        <w:t>who</w:t>
      </w:r>
      <w:r w:rsidRPr="006552E9">
        <w:t xml:space="preserve"> they have control or significant influence over were as follows.</w:t>
      </w:r>
    </w:p>
    <w:p w:rsidR="00030A94" w:rsidRPr="006552E9" w:rsidRDefault="00030A94" w:rsidP="00030A94">
      <w:pPr>
        <w:pStyle w:val="Tabletext"/>
      </w:pPr>
    </w:p>
    <w:tbl>
      <w:tblPr>
        <w:tblW w:w="9086" w:type="dxa"/>
        <w:tblInd w:w="93" w:type="dxa"/>
        <w:tblLayout w:type="fixed"/>
        <w:tblCellMar>
          <w:top w:w="28" w:type="dxa"/>
          <w:bottom w:w="28" w:type="dxa"/>
        </w:tblCellMar>
        <w:tblLook w:val="04A0" w:firstRow="1" w:lastRow="0" w:firstColumn="1" w:lastColumn="0" w:noHBand="0" w:noVBand="1"/>
      </w:tblPr>
      <w:tblGrid>
        <w:gridCol w:w="2000"/>
        <w:gridCol w:w="2126"/>
        <w:gridCol w:w="1559"/>
        <w:gridCol w:w="850"/>
        <w:gridCol w:w="850"/>
        <w:gridCol w:w="851"/>
        <w:gridCol w:w="850"/>
      </w:tblGrid>
      <w:tr w:rsidR="00DC31A7" w:rsidRPr="006552E9" w:rsidTr="00D345C4">
        <w:trPr>
          <w:trHeight w:val="255"/>
        </w:trPr>
        <w:tc>
          <w:tcPr>
            <w:tcW w:w="200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2126"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1559"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1700" w:type="dxa"/>
            <w:gridSpan w:val="2"/>
            <w:tcBorders>
              <w:top w:val="nil"/>
              <w:left w:val="nil"/>
              <w:bottom w:val="nil"/>
              <w:right w:val="nil"/>
            </w:tcBorders>
            <w:shd w:val="clear" w:color="auto" w:fill="auto"/>
            <w:noWrap/>
            <w:vAlign w:val="bottom"/>
            <w:hideMark/>
          </w:tcPr>
          <w:p w:rsidR="00DC31A7" w:rsidRPr="006552E9" w:rsidRDefault="00DC31A7" w:rsidP="00030A94">
            <w:pPr>
              <w:keepNext/>
              <w:spacing w:before="0"/>
              <w:jc w:val="center"/>
              <w:rPr>
                <w:rFonts w:cs="Arial"/>
                <w:b/>
                <w:bCs/>
                <w:sz w:val="20"/>
                <w:szCs w:val="20"/>
              </w:rPr>
            </w:pPr>
            <w:r w:rsidRPr="006552E9">
              <w:rPr>
                <w:rFonts w:cs="Arial"/>
                <w:b/>
                <w:bCs/>
                <w:sz w:val="20"/>
                <w:szCs w:val="20"/>
              </w:rPr>
              <w:t xml:space="preserve">Transaction </w:t>
            </w:r>
            <w:r w:rsidR="00D345C4" w:rsidRPr="006552E9">
              <w:rPr>
                <w:rFonts w:cs="Arial"/>
                <w:b/>
                <w:bCs/>
                <w:sz w:val="20"/>
                <w:szCs w:val="20"/>
              </w:rPr>
              <w:t xml:space="preserve">value </w:t>
            </w:r>
          </w:p>
        </w:tc>
        <w:tc>
          <w:tcPr>
            <w:tcW w:w="1701" w:type="dxa"/>
            <w:gridSpan w:val="2"/>
            <w:tcBorders>
              <w:top w:val="nil"/>
              <w:left w:val="nil"/>
              <w:bottom w:val="nil"/>
              <w:right w:val="nil"/>
            </w:tcBorders>
            <w:shd w:val="clear" w:color="auto" w:fill="auto"/>
            <w:noWrap/>
            <w:vAlign w:val="bottom"/>
            <w:hideMark/>
          </w:tcPr>
          <w:p w:rsidR="00DC31A7" w:rsidRPr="006552E9" w:rsidRDefault="00DC31A7" w:rsidP="00030A94">
            <w:pPr>
              <w:keepNext/>
              <w:spacing w:before="0"/>
              <w:jc w:val="center"/>
              <w:rPr>
                <w:rFonts w:cs="Arial"/>
                <w:b/>
                <w:bCs/>
                <w:sz w:val="20"/>
                <w:szCs w:val="20"/>
              </w:rPr>
            </w:pPr>
            <w:r w:rsidRPr="006552E9">
              <w:rPr>
                <w:rFonts w:cs="Arial"/>
                <w:b/>
                <w:bCs/>
                <w:sz w:val="20"/>
                <w:szCs w:val="20"/>
              </w:rPr>
              <w:t xml:space="preserve">Balance </w:t>
            </w:r>
            <w:r w:rsidR="00D345C4" w:rsidRPr="006552E9">
              <w:rPr>
                <w:rFonts w:cs="Arial"/>
                <w:b/>
                <w:bCs/>
                <w:sz w:val="20"/>
                <w:szCs w:val="20"/>
              </w:rPr>
              <w:t>outstanding</w:t>
            </w:r>
          </w:p>
        </w:tc>
      </w:tr>
      <w:tr w:rsidR="00DC31A7" w:rsidRPr="006552E9" w:rsidTr="00D345C4">
        <w:trPr>
          <w:trHeight w:val="255"/>
        </w:trPr>
        <w:tc>
          <w:tcPr>
            <w:tcW w:w="200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2126"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1559"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1700" w:type="dxa"/>
            <w:gridSpan w:val="2"/>
            <w:tcBorders>
              <w:top w:val="nil"/>
              <w:left w:val="nil"/>
              <w:bottom w:val="single" w:sz="4" w:space="0" w:color="auto"/>
              <w:right w:val="nil"/>
            </w:tcBorders>
            <w:shd w:val="clear" w:color="auto" w:fill="auto"/>
            <w:noWrap/>
            <w:vAlign w:val="bottom"/>
            <w:hideMark/>
          </w:tcPr>
          <w:p w:rsidR="00DC31A7" w:rsidRPr="006552E9" w:rsidRDefault="00DC31A7" w:rsidP="00030A94">
            <w:pPr>
              <w:keepNext/>
              <w:spacing w:before="0"/>
              <w:jc w:val="center"/>
              <w:rPr>
                <w:rFonts w:cs="Arial"/>
                <w:b/>
                <w:bCs/>
                <w:sz w:val="20"/>
                <w:szCs w:val="20"/>
              </w:rPr>
            </w:pPr>
            <w:r w:rsidRPr="006552E9">
              <w:rPr>
                <w:rFonts w:cs="Arial"/>
                <w:b/>
                <w:bCs/>
                <w:sz w:val="20"/>
                <w:szCs w:val="20"/>
              </w:rPr>
              <w:t>Year ended 30</w:t>
            </w:r>
            <w:r w:rsidR="00030A94" w:rsidRPr="006552E9">
              <w:rPr>
                <w:rFonts w:cs="Arial"/>
                <w:b/>
                <w:bCs/>
                <w:sz w:val="20"/>
                <w:szCs w:val="20"/>
              </w:rPr>
              <w:t> </w:t>
            </w:r>
            <w:r w:rsidRPr="006552E9">
              <w:rPr>
                <w:rFonts w:cs="Arial"/>
                <w:b/>
                <w:bCs/>
                <w:sz w:val="20"/>
                <w:szCs w:val="20"/>
              </w:rPr>
              <w:t>June</w:t>
            </w:r>
          </w:p>
        </w:tc>
        <w:tc>
          <w:tcPr>
            <w:tcW w:w="1701" w:type="dxa"/>
            <w:gridSpan w:val="2"/>
            <w:tcBorders>
              <w:top w:val="nil"/>
              <w:left w:val="nil"/>
              <w:bottom w:val="single" w:sz="4" w:space="0" w:color="auto"/>
              <w:right w:val="nil"/>
            </w:tcBorders>
            <w:shd w:val="clear" w:color="auto" w:fill="auto"/>
            <w:noWrap/>
            <w:vAlign w:val="bottom"/>
            <w:hideMark/>
          </w:tcPr>
          <w:p w:rsidR="00DC31A7" w:rsidRPr="006552E9" w:rsidRDefault="00DC31A7" w:rsidP="00473835">
            <w:pPr>
              <w:keepNext/>
              <w:spacing w:before="0"/>
              <w:jc w:val="center"/>
              <w:rPr>
                <w:rFonts w:cs="Arial"/>
                <w:b/>
                <w:bCs/>
                <w:sz w:val="20"/>
                <w:szCs w:val="20"/>
              </w:rPr>
            </w:pPr>
            <w:r w:rsidRPr="006552E9">
              <w:rPr>
                <w:rFonts w:cs="Arial"/>
                <w:b/>
                <w:bCs/>
                <w:sz w:val="20"/>
                <w:szCs w:val="20"/>
              </w:rPr>
              <w:t>Year ended 30</w:t>
            </w:r>
            <w:r w:rsidR="00473835">
              <w:rPr>
                <w:rFonts w:cs="Arial"/>
                <w:b/>
                <w:bCs/>
                <w:sz w:val="20"/>
                <w:szCs w:val="20"/>
              </w:rPr>
              <w:t> </w:t>
            </w:r>
            <w:r w:rsidRPr="006552E9">
              <w:rPr>
                <w:rFonts w:cs="Arial"/>
                <w:b/>
                <w:bCs/>
                <w:sz w:val="20"/>
                <w:szCs w:val="20"/>
              </w:rPr>
              <w:t>June</w:t>
            </w:r>
          </w:p>
        </w:tc>
      </w:tr>
      <w:tr w:rsidR="00DC31A7" w:rsidRPr="006552E9" w:rsidTr="00D345C4">
        <w:tc>
          <w:tcPr>
            <w:tcW w:w="200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2126"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1559"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left"/>
              <w:rPr>
                <w:rFonts w:cs="Arial"/>
                <w:sz w:val="20"/>
                <w:szCs w:val="20"/>
              </w:rPr>
            </w:pPr>
          </w:p>
        </w:tc>
        <w:tc>
          <w:tcPr>
            <w:tcW w:w="85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right"/>
              <w:rPr>
                <w:rFonts w:cs="Arial"/>
                <w:b/>
                <w:bCs/>
                <w:sz w:val="20"/>
                <w:szCs w:val="20"/>
              </w:rPr>
            </w:pPr>
            <w:r w:rsidRPr="006552E9">
              <w:rPr>
                <w:rFonts w:cs="Arial"/>
                <w:b/>
                <w:bCs/>
                <w:sz w:val="20"/>
                <w:szCs w:val="20"/>
              </w:rPr>
              <w:t xml:space="preserve">2013 </w:t>
            </w:r>
          </w:p>
        </w:tc>
        <w:tc>
          <w:tcPr>
            <w:tcW w:w="85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right"/>
              <w:rPr>
                <w:rFonts w:cs="Arial"/>
                <w:b/>
                <w:bCs/>
                <w:sz w:val="20"/>
                <w:szCs w:val="20"/>
              </w:rPr>
            </w:pPr>
            <w:r w:rsidRPr="006552E9">
              <w:rPr>
                <w:rFonts w:cs="Arial"/>
                <w:b/>
                <w:bCs/>
                <w:sz w:val="20"/>
                <w:szCs w:val="20"/>
              </w:rPr>
              <w:t xml:space="preserve"> 2012 </w:t>
            </w:r>
          </w:p>
        </w:tc>
        <w:tc>
          <w:tcPr>
            <w:tcW w:w="851"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right"/>
              <w:rPr>
                <w:rFonts w:cs="Arial"/>
                <w:b/>
                <w:bCs/>
                <w:sz w:val="20"/>
                <w:szCs w:val="20"/>
              </w:rPr>
            </w:pPr>
            <w:r w:rsidRPr="006552E9">
              <w:rPr>
                <w:rFonts w:cs="Arial"/>
                <w:b/>
                <w:bCs/>
                <w:sz w:val="20"/>
                <w:szCs w:val="20"/>
              </w:rPr>
              <w:t xml:space="preserve">2013 </w:t>
            </w:r>
          </w:p>
        </w:tc>
        <w:tc>
          <w:tcPr>
            <w:tcW w:w="850" w:type="dxa"/>
            <w:tcBorders>
              <w:top w:val="nil"/>
              <w:left w:val="nil"/>
              <w:bottom w:val="nil"/>
              <w:right w:val="nil"/>
            </w:tcBorders>
            <w:shd w:val="clear" w:color="auto" w:fill="auto"/>
            <w:noWrap/>
            <w:vAlign w:val="bottom"/>
            <w:hideMark/>
          </w:tcPr>
          <w:p w:rsidR="00DC31A7" w:rsidRPr="006552E9" w:rsidRDefault="00DC31A7" w:rsidP="00030A94">
            <w:pPr>
              <w:keepNext/>
              <w:spacing w:before="0"/>
              <w:jc w:val="right"/>
              <w:rPr>
                <w:rFonts w:cs="Arial"/>
                <w:b/>
                <w:bCs/>
                <w:sz w:val="20"/>
                <w:szCs w:val="20"/>
              </w:rPr>
            </w:pPr>
            <w:r w:rsidRPr="006552E9">
              <w:rPr>
                <w:rFonts w:cs="Arial"/>
                <w:b/>
                <w:bCs/>
                <w:sz w:val="20"/>
                <w:szCs w:val="20"/>
              </w:rPr>
              <w:t xml:space="preserve">2012 </w:t>
            </w:r>
          </w:p>
        </w:tc>
      </w:tr>
      <w:tr w:rsidR="00DC31A7" w:rsidRPr="006552E9" w:rsidTr="00D345C4">
        <w:trPr>
          <w:trHeight w:val="255"/>
        </w:trPr>
        <w:tc>
          <w:tcPr>
            <w:tcW w:w="2000"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left"/>
              <w:rPr>
                <w:rFonts w:cs="Arial"/>
                <w:sz w:val="20"/>
                <w:szCs w:val="20"/>
              </w:rPr>
            </w:pPr>
            <w:r w:rsidRPr="006552E9">
              <w:rPr>
                <w:rFonts w:cs="Arial"/>
                <w:sz w:val="20"/>
                <w:szCs w:val="20"/>
              </w:rPr>
              <w:t> </w:t>
            </w:r>
          </w:p>
        </w:tc>
        <w:tc>
          <w:tcPr>
            <w:tcW w:w="2126"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left"/>
              <w:rPr>
                <w:rFonts w:cs="Arial"/>
                <w:sz w:val="20"/>
                <w:szCs w:val="20"/>
              </w:rPr>
            </w:pPr>
            <w:r w:rsidRPr="006552E9">
              <w:rPr>
                <w:rFonts w:cs="Arial"/>
                <w:sz w:val="20"/>
                <w:szCs w:val="20"/>
              </w:rPr>
              <w:t> </w:t>
            </w:r>
          </w:p>
        </w:tc>
        <w:tc>
          <w:tcPr>
            <w:tcW w:w="1559"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left"/>
              <w:rPr>
                <w:rFonts w:cs="Arial"/>
                <w:sz w:val="20"/>
                <w:szCs w:val="20"/>
              </w:rPr>
            </w:pPr>
            <w:r w:rsidRPr="006552E9">
              <w:rPr>
                <w:rFonts w:cs="Arial"/>
                <w:sz w:val="20"/>
                <w:szCs w:val="20"/>
              </w:rPr>
              <w:t> </w:t>
            </w:r>
          </w:p>
        </w:tc>
        <w:tc>
          <w:tcPr>
            <w:tcW w:w="850"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right"/>
              <w:rPr>
                <w:rFonts w:cs="Arial"/>
                <w:b/>
                <w:bCs/>
                <w:sz w:val="20"/>
                <w:szCs w:val="20"/>
              </w:rPr>
            </w:pPr>
            <w:r w:rsidRPr="006552E9">
              <w:rPr>
                <w:rFonts w:cs="Arial"/>
                <w:b/>
                <w:bCs/>
                <w:sz w:val="20"/>
                <w:szCs w:val="20"/>
              </w:rPr>
              <w:t xml:space="preserve"> $000 </w:t>
            </w:r>
          </w:p>
        </w:tc>
        <w:tc>
          <w:tcPr>
            <w:tcW w:w="850"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right"/>
              <w:rPr>
                <w:rFonts w:cs="Arial"/>
                <w:b/>
                <w:bCs/>
                <w:sz w:val="20"/>
                <w:szCs w:val="20"/>
              </w:rPr>
            </w:pPr>
            <w:r w:rsidRPr="006552E9">
              <w:rPr>
                <w:rFonts w:cs="Arial"/>
                <w:b/>
                <w:bCs/>
                <w:sz w:val="20"/>
                <w:szCs w:val="20"/>
              </w:rPr>
              <w:t xml:space="preserve"> $000 </w:t>
            </w:r>
          </w:p>
        </w:tc>
        <w:tc>
          <w:tcPr>
            <w:tcW w:w="851"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right"/>
              <w:rPr>
                <w:rFonts w:cs="Arial"/>
                <w:b/>
                <w:bCs/>
                <w:sz w:val="20"/>
                <w:szCs w:val="20"/>
              </w:rPr>
            </w:pPr>
            <w:r w:rsidRPr="006552E9">
              <w:rPr>
                <w:rFonts w:cs="Arial"/>
                <w:b/>
                <w:bCs/>
                <w:sz w:val="20"/>
                <w:szCs w:val="20"/>
              </w:rPr>
              <w:t xml:space="preserve">$000 </w:t>
            </w:r>
          </w:p>
        </w:tc>
        <w:tc>
          <w:tcPr>
            <w:tcW w:w="850" w:type="dxa"/>
            <w:tcBorders>
              <w:top w:val="nil"/>
              <w:left w:val="nil"/>
              <w:bottom w:val="single" w:sz="4" w:space="0" w:color="auto"/>
              <w:right w:val="nil"/>
            </w:tcBorders>
            <w:shd w:val="clear" w:color="auto" w:fill="auto"/>
            <w:noWrap/>
            <w:vAlign w:val="bottom"/>
            <w:hideMark/>
          </w:tcPr>
          <w:p w:rsidR="00DC31A7" w:rsidRPr="006552E9" w:rsidRDefault="00DC31A7" w:rsidP="00DC31A7">
            <w:pPr>
              <w:spacing w:before="0"/>
              <w:jc w:val="right"/>
              <w:rPr>
                <w:rFonts w:cs="Arial"/>
                <w:b/>
                <w:bCs/>
                <w:sz w:val="20"/>
                <w:szCs w:val="20"/>
              </w:rPr>
            </w:pPr>
            <w:r w:rsidRPr="006552E9">
              <w:rPr>
                <w:rFonts w:cs="Arial"/>
                <w:b/>
                <w:bCs/>
                <w:sz w:val="20"/>
                <w:szCs w:val="20"/>
              </w:rPr>
              <w:t xml:space="preserve">$000 </w:t>
            </w:r>
          </w:p>
        </w:tc>
      </w:tr>
      <w:tr w:rsidR="00DC31A7" w:rsidRPr="006552E9" w:rsidTr="00D345C4">
        <w:tc>
          <w:tcPr>
            <w:tcW w:w="2000" w:type="dxa"/>
            <w:tcBorders>
              <w:top w:val="nil"/>
              <w:left w:val="nil"/>
              <w:bottom w:val="nil"/>
              <w:right w:val="nil"/>
            </w:tcBorders>
            <w:shd w:val="clear" w:color="auto" w:fill="auto"/>
            <w:vAlign w:val="bottom"/>
            <w:hideMark/>
          </w:tcPr>
          <w:p w:rsidR="00DC31A7" w:rsidRPr="006552E9" w:rsidRDefault="00DC31A7" w:rsidP="00DC31A7">
            <w:pPr>
              <w:spacing w:before="0"/>
              <w:jc w:val="left"/>
              <w:rPr>
                <w:rFonts w:cs="Arial"/>
                <w:sz w:val="20"/>
                <w:szCs w:val="20"/>
              </w:rPr>
            </w:pPr>
            <w:r w:rsidRPr="006552E9">
              <w:rPr>
                <w:rFonts w:cs="Arial"/>
                <w:sz w:val="20"/>
                <w:szCs w:val="20"/>
              </w:rPr>
              <w:t>Cath Cardiff (Senior Management Team)</w:t>
            </w:r>
          </w:p>
        </w:tc>
        <w:tc>
          <w:tcPr>
            <w:tcW w:w="2126" w:type="dxa"/>
            <w:tcBorders>
              <w:top w:val="nil"/>
              <w:left w:val="nil"/>
              <w:bottom w:val="nil"/>
              <w:right w:val="nil"/>
            </w:tcBorders>
            <w:shd w:val="clear" w:color="auto" w:fill="auto"/>
            <w:vAlign w:val="bottom"/>
            <w:hideMark/>
          </w:tcPr>
          <w:p w:rsidR="00DC31A7" w:rsidRPr="006552E9" w:rsidRDefault="00DC31A7" w:rsidP="00DC31A7">
            <w:pPr>
              <w:spacing w:before="0"/>
              <w:jc w:val="left"/>
              <w:rPr>
                <w:rFonts w:cs="Arial"/>
                <w:sz w:val="20"/>
                <w:szCs w:val="20"/>
              </w:rPr>
            </w:pPr>
            <w:r w:rsidRPr="006552E9">
              <w:rPr>
                <w:rFonts w:cs="Arial"/>
                <w:sz w:val="20"/>
                <w:szCs w:val="20"/>
              </w:rPr>
              <w:t>Silo Theatre (Jessica Smith, Executive Director)</w:t>
            </w:r>
          </w:p>
        </w:tc>
        <w:tc>
          <w:tcPr>
            <w:tcW w:w="1559" w:type="dxa"/>
            <w:tcBorders>
              <w:top w:val="nil"/>
              <w:left w:val="nil"/>
              <w:bottom w:val="nil"/>
              <w:right w:val="nil"/>
            </w:tcBorders>
            <w:shd w:val="clear" w:color="auto" w:fill="auto"/>
            <w:hideMark/>
          </w:tcPr>
          <w:p w:rsidR="00DC31A7" w:rsidRPr="006552E9" w:rsidRDefault="00DC31A7" w:rsidP="00472253">
            <w:pPr>
              <w:spacing w:before="0"/>
              <w:jc w:val="left"/>
              <w:rPr>
                <w:rFonts w:cs="Arial"/>
                <w:sz w:val="20"/>
                <w:szCs w:val="20"/>
              </w:rPr>
            </w:pPr>
            <w:r w:rsidRPr="006552E9">
              <w:rPr>
                <w:rFonts w:cs="Arial"/>
                <w:sz w:val="20"/>
                <w:szCs w:val="20"/>
              </w:rPr>
              <w:t xml:space="preserve">Family </w:t>
            </w:r>
            <w:r w:rsidR="00D345C4" w:rsidRPr="006552E9">
              <w:rPr>
                <w:rFonts w:cs="Arial"/>
                <w:sz w:val="20"/>
                <w:szCs w:val="20"/>
              </w:rPr>
              <w:t>member</w:t>
            </w:r>
          </w:p>
        </w:tc>
        <w:tc>
          <w:tcPr>
            <w:tcW w:w="850" w:type="dxa"/>
            <w:tcBorders>
              <w:top w:val="nil"/>
              <w:left w:val="nil"/>
              <w:bottom w:val="nil"/>
              <w:right w:val="nil"/>
            </w:tcBorders>
            <w:shd w:val="clear" w:color="auto" w:fill="auto"/>
            <w:noWrap/>
            <w:hideMark/>
          </w:tcPr>
          <w:p w:rsidR="00DC31A7" w:rsidRPr="006552E9" w:rsidRDefault="0087298E" w:rsidP="00472253">
            <w:pPr>
              <w:spacing w:before="0"/>
              <w:jc w:val="right"/>
              <w:rPr>
                <w:rFonts w:cs="Arial"/>
                <w:sz w:val="20"/>
                <w:szCs w:val="20"/>
              </w:rPr>
            </w:pPr>
            <w:r w:rsidRPr="006552E9">
              <w:rPr>
                <w:rFonts w:cs="Arial"/>
                <w:sz w:val="20"/>
                <w:szCs w:val="20"/>
              </w:rPr>
              <w:t xml:space="preserve"> </w:t>
            </w:r>
            <w:r w:rsidR="00DC31A7" w:rsidRPr="006552E9">
              <w:rPr>
                <w:rFonts w:cs="Arial"/>
                <w:sz w:val="20"/>
                <w:szCs w:val="20"/>
              </w:rPr>
              <w:t xml:space="preserve">443 </w:t>
            </w:r>
          </w:p>
        </w:tc>
        <w:tc>
          <w:tcPr>
            <w:tcW w:w="850" w:type="dxa"/>
            <w:tcBorders>
              <w:top w:val="nil"/>
              <w:left w:val="nil"/>
              <w:bottom w:val="nil"/>
              <w:right w:val="nil"/>
            </w:tcBorders>
            <w:shd w:val="clear" w:color="auto" w:fill="auto"/>
            <w:noWrap/>
            <w:hideMark/>
          </w:tcPr>
          <w:p w:rsidR="00DC31A7" w:rsidRPr="006552E9" w:rsidRDefault="0087298E" w:rsidP="00472253">
            <w:pPr>
              <w:spacing w:before="0"/>
              <w:jc w:val="right"/>
              <w:rPr>
                <w:rFonts w:cs="Arial"/>
                <w:sz w:val="20"/>
                <w:szCs w:val="20"/>
              </w:rPr>
            </w:pPr>
            <w:r w:rsidRPr="006552E9">
              <w:rPr>
                <w:rFonts w:cs="Arial"/>
                <w:sz w:val="20"/>
                <w:szCs w:val="20"/>
              </w:rPr>
              <w:t xml:space="preserve"> </w:t>
            </w:r>
            <w:r w:rsidR="00DC31A7" w:rsidRPr="006552E9">
              <w:rPr>
                <w:rFonts w:cs="Arial"/>
                <w:sz w:val="20"/>
                <w:szCs w:val="20"/>
              </w:rPr>
              <w:t xml:space="preserve">320 </w:t>
            </w:r>
          </w:p>
        </w:tc>
        <w:tc>
          <w:tcPr>
            <w:tcW w:w="851" w:type="dxa"/>
            <w:tcBorders>
              <w:top w:val="nil"/>
              <w:left w:val="nil"/>
              <w:bottom w:val="nil"/>
              <w:right w:val="nil"/>
            </w:tcBorders>
            <w:shd w:val="clear" w:color="auto" w:fill="auto"/>
            <w:noWrap/>
            <w:hideMark/>
          </w:tcPr>
          <w:p w:rsidR="00DC31A7" w:rsidRPr="006552E9" w:rsidRDefault="0087298E" w:rsidP="00472253">
            <w:pPr>
              <w:spacing w:before="0"/>
              <w:jc w:val="right"/>
              <w:rPr>
                <w:rFonts w:cs="Arial"/>
                <w:sz w:val="20"/>
                <w:szCs w:val="20"/>
              </w:rPr>
            </w:pPr>
            <w:r w:rsidRPr="006552E9">
              <w:rPr>
                <w:rFonts w:cs="Arial"/>
                <w:sz w:val="20"/>
                <w:szCs w:val="20"/>
              </w:rPr>
              <w:t xml:space="preserve"> </w:t>
            </w:r>
            <w:r w:rsidR="00DC31A7" w:rsidRPr="006552E9">
              <w:rPr>
                <w:rFonts w:cs="Arial"/>
                <w:sz w:val="20"/>
                <w:szCs w:val="20"/>
              </w:rPr>
              <w:t xml:space="preserve">210 </w:t>
            </w:r>
          </w:p>
        </w:tc>
        <w:tc>
          <w:tcPr>
            <w:tcW w:w="850" w:type="dxa"/>
            <w:tcBorders>
              <w:top w:val="nil"/>
              <w:left w:val="nil"/>
              <w:bottom w:val="nil"/>
              <w:right w:val="nil"/>
            </w:tcBorders>
            <w:shd w:val="clear" w:color="auto" w:fill="auto"/>
            <w:noWrap/>
            <w:hideMark/>
          </w:tcPr>
          <w:p w:rsidR="00DC31A7" w:rsidRPr="006552E9" w:rsidRDefault="0087298E" w:rsidP="00472253">
            <w:pPr>
              <w:spacing w:before="0"/>
              <w:jc w:val="right"/>
              <w:rPr>
                <w:rFonts w:cs="Arial"/>
                <w:sz w:val="20"/>
                <w:szCs w:val="20"/>
              </w:rPr>
            </w:pPr>
            <w:r w:rsidRPr="006552E9">
              <w:rPr>
                <w:rFonts w:cs="Arial"/>
                <w:sz w:val="20"/>
                <w:szCs w:val="20"/>
              </w:rPr>
              <w:t xml:space="preserve"> </w:t>
            </w:r>
            <w:r w:rsidR="00DC31A7" w:rsidRPr="006552E9">
              <w:rPr>
                <w:rFonts w:cs="Arial"/>
                <w:sz w:val="20"/>
                <w:szCs w:val="20"/>
              </w:rPr>
              <w:t xml:space="preserve">170 </w:t>
            </w:r>
          </w:p>
        </w:tc>
      </w:tr>
      <w:tr w:rsidR="00DC31A7" w:rsidRPr="006552E9" w:rsidTr="00D345C4">
        <w:tc>
          <w:tcPr>
            <w:tcW w:w="9086" w:type="dxa"/>
            <w:gridSpan w:val="7"/>
            <w:tcBorders>
              <w:top w:val="nil"/>
              <w:left w:val="nil"/>
              <w:bottom w:val="nil"/>
              <w:right w:val="nil"/>
            </w:tcBorders>
            <w:shd w:val="clear" w:color="auto" w:fill="auto"/>
            <w:vAlign w:val="bottom"/>
            <w:hideMark/>
          </w:tcPr>
          <w:p w:rsidR="00DC31A7" w:rsidRPr="006552E9" w:rsidRDefault="00DC31A7" w:rsidP="00DC31A7">
            <w:pPr>
              <w:spacing w:before="0"/>
              <w:jc w:val="left"/>
              <w:rPr>
                <w:rFonts w:cs="Arial"/>
                <w:sz w:val="20"/>
                <w:szCs w:val="20"/>
              </w:rPr>
            </w:pPr>
            <w:r w:rsidRPr="006552E9">
              <w:rPr>
                <w:rFonts w:cs="Arial"/>
                <w:sz w:val="20"/>
                <w:szCs w:val="20"/>
              </w:rPr>
              <w:t>The decision to fund Silo Theatre Trust was made by the Arts Board. Cath Cardiff declared her conflict of interest and did not take part in any stage of the grant decision making process.</w:t>
            </w:r>
          </w:p>
        </w:tc>
      </w:tr>
      <w:tr w:rsidR="00DC31A7" w:rsidRPr="006552E9" w:rsidTr="00D345C4">
        <w:tc>
          <w:tcPr>
            <w:tcW w:w="2000" w:type="dxa"/>
            <w:tcBorders>
              <w:top w:val="nil"/>
              <w:left w:val="nil"/>
              <w:bottom w:val="nil"/>
              <w:right w:val="nil"/>
            </w:tcBorders>
            <w:shd w:val="clear" w:color="auto" w:fill="auto"/>
            <w:vAlign w:val="bottom"/>
            <w:hideMark/>
          </w:tcPr>
          <w:p w:rsidR="00DC31A7" w:rsidRPr="006552E9" w:rsidRDefault="00DC31A7" w:rsidP="00D345C4">
            <w:pPr>
              <w:spacing w:before="0"/>
              <w:jc w:val="left"/>
              <w:rPr>
                <w:rFonts w:cs="Arial"/>
                <w:sz w:val="20"/>
                <w:szCs w:val="20"/>
              </w:rPr>
            </w:pPr>
            <w:r w:rsidRPr="006552E9">
              <w:rPr>
                <w:rFonts w:cs="Arial"/>
                <w:sz w:val="20"/>
                <w:szCs w:val="20"/>
              </w:rPr>
              <w:t>Te K</w:t>
            </w:r>
            <w:r w:rsidR="00D345C4">
              <w:rPr>
                <w:rFonts w:cs="Arial"/>
                <w:sz w:val="20"/>
                <w:szCs w:val="20"/>
              </w:rPr>
              <w:t>ā</w:t>
            </w:r>
            <w:r w:rsidRPr="006552E9">
              <w:rPr>
                <w:rFonts w:cs="Arial"/>
                <w:sz w:val="20"/>
                <w:szCs w:val="20"/>
              </w:rPr>
              <w:t xml:space="preserve">hautu Maxwell </w:t>
            </w:r>
          </w:p>
        </w:tc>
        <w:tc>
          <w:tcPr>
            <w:tcW w:w="2126" w:type="dxa"/>
            <w:tcBorders>
              <w:top w:val="nil"/>
              <w:left w:val="nil"/>
              <w:bottom w:val="nil"/>
              <w:right w:val="nil"/>
            </w:tcBorders>
            <w:shd w:val="clear" w:color="auto" w:fill="auto"/>
            <w:vAlign w:val="bottom"/>
            <w:hideMark/>
          </w:tcPr>
          <w:p w:rsidR="00DC31A7" w:rsidRPr="006552E9" w:rsidRDefault="00DC31A7" w:rsidP="00DC31A7">
            <w:pPr>
              <w:spacing w:before="0"/>
              <w:jc w:val="left"/>
              <w:rPr>
                <w:rFonts w:cs="Arial"/>
                <w:sz w:val="20"/>
                <w:szCs w:val="20"/>
              </w:rPr>
            </w:pPr>
            <w:r w:rsidRPr="006552E9">
              <w:rPr>
                <w:rFonts w:cs="Arial"/>
                <w:sz w:val="20"/>
                <w:szCs w:val="20"/>
              </w:rPr>
              <w:t>Te Matatini Society Incorporated</w:t>
            </w:r>
          </w:p>
        </w:tc>
        <w:tc>
          <w:tcPr>
            <w:tcW w:w="1559" w:type="dxa"/>
            <w:tcBorders>
              <w:top w:val="nil"/>
              <w:left w:val="nil"/>
              <w:bottom w:val="nil"/>
              <w:right w:val="nil"/>
            </w:tcBorders>
            <w:shd w:val="clear" w:color="auto" w:fill="auto"/>
            <w:hideMark/>
          </w:tcPr>
          <w:p w:rsidR="00DC31A7" w:rsidRPr="006552E9" w:rsidRDefault="00DC31A7" w:rsidP="00472253">
            <w:pPr>
              <w:spacing w:before="0"/>
              <w:jc w:val="left"/>
              <w:rPr>
                <w:rFonts w:cs="Arial"/>
                <w:sz w:val="20"/>
                <w:szCs w:val="20"/>
              </w:rPr>
            </w:pPr>
            <w:r w:rsidRPr="006552E9">
              <w:rPr>
                <w:rFonts w:cs="Arial"/>
                <w:sz w:val="20"/>
                <w:szCs w:val="20"/>
              </w:rPr>
              <w:t>Trustee</w:t>
            </w:r>
          </w:p>
        </w:tc>
        <w:tc>
          <w:tcPr>
            <w:tcW w:w="850" w:type="dxa"/>
            <w:tcBorders>
              <w:top w:val="nil"/>
              <w:left w:val="nil"/>
              <w:bottom w:val="nil"/>
              <w:right w:val="nil"/>
            </w:tcBorders>
            <w:shd w:val="clear" w:color="auto" w:fill="auto"/>
            <w:noWrap/>
            <w:hideMark/>
          </w:tcPr>
          <w:p w:rsidR="00DC31A7" w:rsidRPr="006552E9" w:rsidRDefault="0087298E" w:rsidP="00472253">
            <w:pPr>
              <w:spacing w:before="0"/>
              <w:jc w:val="right"/>
              <w:rPr>
                <w:rFonts w:cs="Arial"/>
                <w:sz w:val="20"/>
                <w:szCs w:val="20"/>
              </w:rPr>
            </w:pPr>
            <w:r w:rsidRPr="006552E9">
              <w:rPr>
                <w:rFonts w:cs="Arial"/>
                <w:sz w:val="20"/>
                <w:szCs w:val="20"/>
              </w:rPr>
              <w:t xml:space="preserve"> </w:t>
            </w:r>
            <w:r w:rsidR="00DC31A7" w:rsidRPr="006552E9">
              <w:rPr>
                <w:rFonts w:cs="Arial"/>
                <w:sz w:val="20"/>
                <w:szCs w:val="20"/>
              </w:rPr>
              <w:t>(60)</w:t>
            </w:r>
          </w:p>
        </w:tc>
        <w:tc>
          <w:tcPr>
            <w:tcW w:w="850" w:type="dxa"/>
            <w:tcBorders>
              <w:top w:val="nil"/>
              <w:left w:val="nil"/>
              <w:bottom w:val="nil"/>
              <w:right w:val="nil"/>
            </w:tcBorders>
            <w:shd w:val="clear" w:color="auto" w:fill="auto"/>
            <w:noWrap/>
            <w:hideMark/>
          </w:tcPr>
          <w:p w:rsidR="00DC31A7" w:rsidRPr="006552E9" w:rsidRDefault="00C02722" w:rsidP="00472253">
            <w:pPr>
              <w:spacing w:before="0"/>
              <w:jc w:val="right"/>
              <w:rPr>
                <w:rFonts w:cs="Arial"/>
                <w:sz w:val="20"/>
                <w:szCs w:val="20"/>
              </w:rPr>
            </w:pPr>
            <w:r>
              <w:rPr>
                <w:rFonts w:cs="Arial"/>
                <w:sz w:val="20"/>
                <w:szCs w:val="20"/>
              </w:rPr>
              <w:t xml:space="preserve"> </w:t>
            </w:r>
            <w:r w:rsidR="00877D63">
              <w:rPr>
                <w:rFonts w:cs="Arial"/>
                <w:sz w:val="20"/>
                <w:szCs w:val="20"/>
              </w:rPr>
              <w:t>–</w:t>
            </w:r>
            <w:r w:rsidR="0087298E" w:rsidRPr="006552E9">
              <w:rPr>
                <w:rFonts w:cs="Arial"/>
                <w:sz w:val="20"/>
                <w:szCs w:val="20"/>
              </w:rPr>
              <w:t xml:space="preserve"> </w:t>
            </w:r>
          </w:p>
        </w:tc>
        <w:tc>
          <w:tcPr>
            <w:tcW w:w="851" w:type="dxa"/>
            <w:tcBorders>
              <w:top w:val="nil"/>
              <w:left w:val="nil"/>
              <w:bottom w:val="nil"/>
              <w:right w:val="nil"/>
            </w:tcBorders>
            <w:shd w:val="clear" w:color="auto" w:fill="auto"/>
            <w:noWrap/>
            <w:hideMark/>
          </w:tcPr>
          <w:p w:rsidR="00DC31A7" w:rsidRPr="006552E9" w:rsidRDefault="00C02722" w:rsidP="00472253">
            <w:pPr>
              <w:spacing w:before="0"/>
              <w:jc w:val="right"/>
              <w:rPr>
                <w:rFonts w:cs="Arial"/>
                <w:sz w:val="20"/>
                <w:szCs w:val="20"/>
              </w:rPr>
            </w:pPr>
            <w:r>
              <w:rPr>
                <w:rFonts w:cs="Arial"/>
                <w:sz w:val="20"/>
                <w:szCs w:val="20"/>
              </w:rPr>
              <w:t xml:space="preserve"> </w:t>
            </w:r>
            <w:r w:rsidR="00877D63">
              <w:rPr>
                <w:rFonts w:cs="Arial"/>
                <w:sz w:val="20"/>
                <w:szCs w:val="20"/>
              </w:rPr>
              <w:t>–</w:t>
            </w:r>
            <w:r w:rsidR="0087298E" w:rsidRPr="006552E9">
              <w:rPr>
                <w:rFonts w:cs="Arial"/>
                <w:sz w:val="20"/>
                <w:szCs w:val="20"/>
              </w:rPr>
              <w:t xml:space="preserve"> </w:t>
            </w:r>
          </w:p>
        </w:tc>
        <w:tc>
          <w:tcPr>
            <w:tcW w:w="850" w:type="dxa"/>
            <w:tcBorders>
              <w:top w:val="nil"/>
              <w:left w:val="nil"/>
              <w:bottom w:val="nil"/>
              <w:right w:val="nil"/>
            </w:tcBorders>
            <w:shd w:val="clear" w:color="auto" w:fill="auto"/>
            <w:noWrap/>
            <w:hideMark/>
          </w:tcPr>
          <w:p w:rsidR="00DC31A7" w:rsidRPr="006552E9" w:rsidRDefault="00C02722" w:rsidP="00472253">
            <w:pPr>
              <w:spacing w:before="0"/>
              <w:jc w:val="right"/>
              <w:rPr>
                <w:rFonts w:cs="Arial"/>
                <w:sz w:val="20"/>
                <w:szCs w:val="20"/>
              </w:rPr>
            </w:pPr>
            <w:r>
              <w:rPr>
                <w:rFonts w:cs="Arial"/>
                <w:sz w:val="20"/>
                <w:szCs w:val="20"/>
              </w:rPr>
              <w:t xml:space="preserve"> </w:t>
            </w:r>
            <w:r w:rsidR="00877D63">
              <w:rPr>
                <w:rFonts w:cs="Arial"/>
                <w:sz w:val="20"/>
                <w:szCs w:val="20"/>
              </w:rPr>
              <w:t>–</w:t>
            </w:r>
            <w:r w:rsidR="0087298E" w:rsidRPr="006552E9">
              <w:rPr>
                <w:rFonts w:cs="Arial"/>
                <w:sz w:val="20"/>
                <w:szCs w:val="20"/>
              </w:rPr>
              <w:t xml:space="preserve"> </w:t>
            </w:r>
          </w:p>
        </w:tc>
      </w:tr>
      <w:tr w:rsidR="00DC31A7" w:rsidRPr="006552E9" w:rsidTr="00D345C4">
        <w:tc>
          <w:tcPr>
            <w:tcW w:w="9086" w:type="dxa"/>
            <w:gridSpan w:val="7"/>
            <w:tcBorders>
              <w:top w:val="nil"/>
              <w:left w:val="nil"/>
              <w:bottom w:val="nil"/>
              <w:right w:val="nil"/>
            </w:tcBorders>
            <w:shd w:val="clear" w:color="auto" w:fill="auto"/>
            <w:vAlign w:val="bottom"/>
            <w:hideMark/>
          </w:tcPr>
          <w:p w:rsidR="00DC31A7" w:rsidRPr="006552E9" w:rsidRDefault="00DC31A7" w:rsidP="00DC31A7">
            <w:pPr>
              <w:spacing w:before="0"/>
              <w:jc w:val="left"/>
              <w:rPr>
                <w:rFonts w:cs="Arial"/>
                <w:sz w:val="20"/>
                <w:szCs w:val="20"/>
              </w:rPr>
            </w:pPr>
            <w:r w:rsidRPr="006552E9">
              <w:rPr>
                <w:rFonts w:cs="Arial"/>
                <w:sz w:val="20"/>
                <w:szCs w:val="20"/>
              </w:rPr>
              <w:t>Te Matatini Society Incorporated paid $60,000 to Creative New Zealand as a contribution towards the Festival of Pacific Arts 2012 (note 5).</w:t>
            </w:r>
          </w:p>
        </w:tc>
      </w:tr>
    </w:tbl>
    <w:p w:rsidR="0029526F" w:rsidRPr="006552E9" w:rsidRDefault="00DC31A7" w:rsidP="00DC31A7">
      <w:pPr>
        <w:pStyle w:val="Heading4"/>
      </w:pPr>
      <w:r w:rsidRPr="006552E9">
        <w:t>26.4</w:t>
      </w:r>
      <w:r w:rsidRPr="006552E9">
        <w:tab/>
        <w:t>Key management personnel compensation</w:t>
      </w:r>
    </w:p>
    <w:tbl>
      <w:tblPr>
        <w:tblW w:w="9087" w:type="dxa"/>
        <w:tblInd w:w="93" w:type="dxa"/>
        <w:tblLook w:val="04A0" w:firstRow="1" w:lastRow="0" w:firstColumn="1" w:lastColumn="0" w:noHBand="0" w:noVBand="1"/>
      </w:tblPr>
      <w:tblGrid>
        <w:gridCol w:w="6819"/>
        <w:gridCol w:w="1134"/>
        <w:gridCol w:w="1134"/>
      </w:tblGrid>
      <w:tr w:rsidR="00030A94" w:rsidRPr="006552E9" w:rsidTr="00030A94">
        <w:trPr>
          <w:trHeight w:val="255"/>
        </w:trPr>
        <w:tc>
          <w:tcPr>
            <w:tcW w:w="6819" w:type="dxa"/>
            <w:tcBorders>
              <w:top w:val="nil"/>
              <w:left w:val="nil"/>
              <w:right w:val="nil"/>
            </w:tcBorders>
            <w:shd w:val="clear" w:color="auto" w:fill="auto"/>
            <w:noWrap/>
            <w:vAlign w:val="bottom"/>
            <w:hideMark/>
          </w:tcPr>
          <w:p w:rsidR="00030A94" w:rsidRPr="006552E9" w:rsidRDefault="00030A94" w:rsidP="00D07AF2">
            <w:pPr>
              <w:spacing w:before="0"/>
              <w:jc w:val="left"/>
              <w:rPr>
                <w:rFonts w:cs="Arial"/>
                <w:sz w:val="20"/>
                <w:szCs w:val="20"/>
              </w:rPr>
            </w:pPr>
          </w:p>
        </w:tc>
        <w:tc>
          <w:tcPr>
            <w:tcW w:w="1134" w:type="dxa"/>
            <w:tcBorders>
              <w:top w:val="nil"/>
              <w:left w:val="nil"/>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2013 </w:t>
            </w:r>
          </w:p>
        </w:tc>
        <w:tc>
          <w:tcPr>
            <w:tcW w:w="1134" w:type="dxa"/>
            <w:tcBorders>
              <w:top w:val="nil"/>
              <w:left w:val="nil"/>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2012 </w:t>
            </w:r>
          </w:p>
        </w:tc>
      </w:tr>
      <w:tr w:rsidR="00030A94" w:rsidRPr="006552E9" w:rsidTr="00030A94">
        <w:trPr>
          <w:trHeight w:val="255"/>
        </w:trPr>
        <w:tc>
          <w:tcPr>
            <w:tcW w:w="6819" w:type="dxa"/>
            <w:tcBorders>
              <w:top w:val="nil"/>
              <w:left w:val="nil"/>
              <w:bottom w:val="single" w:sz="4" w:space="0" w:color="auto"/>
              <w:right w:val="nil"/>
            </w:tcBorders>
            <w:shd w:val="clear" w:color="auto" w:fill="auto"/>
            <w:noWrap/>
            <w:vAlign w:val="bottom"/>
            <w:hideMark/>
          </w:tcPr>
          <w:p w:rsidR="00030A94" w:rsidRPr="006552E9" w:rsidRDefault="00030A94" w:rsidP="00D07AF2">
            <w:pPr>
              <w:spacing w:before="0"/>
              <w:jc w:val="left"/>
              <w:rPr>
                <w:rFonts w:cs="Arial"/>
                <w:sz w:val="20"/>
                <w:szCs w:val="20"/>
              </w:rPr>
            </w:pPr>
          </w:p>
        </w:tc>
        <w:tc>
          <w:tcPr>
            <w:tcW w:w="1134" w:type="dxa"/>
            <w:tcBorders>
              <w:top w:val="nil"/>
              <w:left w:val="nil"/>
              <w:bottom w:val="single" w:sz="4" w:space="0" w:color="auto"/>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$000 </w:t>
            </w:r>
          </w:p>
        </w:tc>
        <w:tc>
          <w:tcPr>
            <w:tcW w:w="1134" w:type="dxa"/>
            <w:tcBorders>
              <w:top w:val="nil"/>
              <w:left w:val="nil"/>
              <w:bottom w:val="single" w:sz="4" w:space="0" w:color="auto"/>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$000 </w:t>
            </w:r>
          </w:p>
        </w:tc>
      </w:tr>
      <w:tr w:rsidR="00D07AF2" w:rsidRPr="006552E9" w:rsidTr="00030A94">
        <w:trPr>
          <w:trHeight w:val="255"/>
        </w:trPr>
        <w:tc>
          <w:tcPr>
            <w:tcW w:w="6819" w:type="dxa"/>
            <w:tcBorders>
              <w:top w:val="single" w:sz="4" w:space="0" w:color="auto"/>
              <w:left w:val="nil"/>
              <w:bottom w:val="nil"/>
              <w:right w:val="nil"/>
            </w:tcBorders>
            <w:shd w:val="clear" w:color="auto" w:fill="auto"/>
            <w:noWrap/>
            <w:vAlign w:val="bottom"/>
            <w:hideMark/>
          </w:tcPr>
          <w:p w:rsidR="00D07AF2" w:rsidRPr="006552E9" w:rsidRDefault="00D07AF2" w:rsidP="00D07AF2">
            <w:pPr>
              <w:spacing w:before="0"/>
              <w:jc w:val="left"/>
              <w:rPr>
                <w:rFonts w:cs="Arial"/>
                <w:sz w:val="20"/>
                <w:szCs w:val="20"/>
              </w:rPr>
            </w:pPr>
            <w:r w:rsidRPr="006552E9">
              <w:rPr>
                <w:rFonts w:cs="Arial"/>
                <w:sz w:val="20"/>
                <w:szCs w:val="20"/>
              </w:rPr>
              <w:t xml:space="preserve">Salaries and other </w:t>
            </w:r>
            <w:r w:rsidR="00186401">
              <w:rPr>
                <w:rFonts w:cs="Arial"/>
                <w:sz w:val="20"/>
                <w:szCs w:val="20"/>
              </w:rPr>
              <w:t>short-term</w:t>
            </w:r>
            <w:r w:rsidRPr="006552E9">
              <w:rPr>
                <w:rFonts w:cs="Arial"/>
                <w:sz w:val="20"/>
                <w:szCs w:val="20"/>
              </w:rPr>
              <w:t xml:space="preserve"> employee benefits</w:t>
            </w:r>
          </w:p>
        </w:tc>
        <w:tc>
          <w:tcPr>
            <w:tcW w:w="1134" w:type="dxa"/>
            <w:tcBorders>
              <w:top w:val="single" w:sz="4" w:space="0" w:color="auto"/>
              <w:left w:val="nil"/>
              <w:bottom w:val="nil"/>
              <w:right w:val="nil"/>
            </w:tcBorders>
            <w:shd w:val="clear" w:color="auto" w:fill="auto"/>
            <w:noWrap/>
            <w:vAlign w:val="bottom"/>
            <w:hideMark/>
          </w:tcPr>
          <w:p w:rsidR="00D07AF2" w:rsidRPr="006552E9" w:rsidRDefault="0087298E" w:rsidP="00030A94">
            <w:pPr>
              <w:spacing w:before="0"/>
              <w:jc w:val="right"/>
              <w:rPr>
                <w:rFonts w:cs="Arial"/>
                <w:sz w:val="20"/>
                <w:szCs w:val="20"/>
              </w:rPr>
            </w:pPr>
            <w:r w:rsidRPr="006552E9">
              <w:rPr>
                <w:rFonts w:cs="Arial"/>
                <w:sz w:val="20"/>
                <w:szCs w:val="20"/>
              </w:rPr>
              <w:t xml:space="preserve"> </w:t>
            </w:r>
            <w:r w:rsidR="00D07AF2" w:rsidRPr="006552E9">
              <w:rPr>
                <w:rFonts w:cs="Arial"/>
                <w:sz w:val="20"/>
                <w:szCs w:val="20"/>
              </w:rPr>
              <w:t xml:space="preserve">1,128 </w:t>
            </w:r>
          </w:p>
        </w:tc>
        <w:tc>
          <w:tcPr>
            <w:tcW w:w="1134" w:type="dxa"/>
            <w:tcBorders>
              <w:top w:val="single" w:sz="4" w:space="0" w:color="auto"/>
              <w:left w:val="nil"/>
              <w:bottom w:val="nil"/>
              <w:right w:val="nil"/>
            </w:tcBorders>
            <w:shd w:val="clear" w:color="auto" w:fill="auto"/>
            <w:noWrap/>
            <w:vAlign w:val="bottom"/>
            <w:hideMark/>
          </w:tcPr>
          <w:p w:rsidR="00D07AF2" w:rsidRPr="006552E9" w:rsidRDefault="0087298E" w:rsidP="00030A94">
            <w:pPr>
              <w:spacing w:before="0"/>
              <w:jc w:val="right"/>
              <w:rPr>
                <w:rFonts w:cs="Arial"/>
                <w:sz w:val="20"/>
                <w:szCs w:val="20"/>
              </w:rPr>
            </w:pPr>
            <w:r w:rsidRPr="006552E9">
              <w:rPr>
                <w:rFonts w:cs="Arial"/>
                <w:sz w:val="20"/>
                <w:szCs w:val="20"/>
              </w:rPr>
              <w:t xml:space="preserve"> </w:t>
            </w:r>
            <w:r w:rsidR="00D07AF2" w:rsidRPr="006552E9">
              <w:rPr>
                <w:rFonts w:cs="Arial"/>
                <w:sz w:val="20"/>
                <w:szCs w:val="20"/>
              </w:rPr>
              <w:t xml:space="preserve">1,132 </w:t>
            </w:r>
          </w:p>
        </w:tc>
      </w:tr>
      <w:tr w:rsidR="00030A94" w:rsidRPr="006552E9" w:rsidTr="00A00ED0">
        <w:trPr>
          <w:trHeight w:val="255"/>
        </w:trPr>
        <w:tc>
          <w:tcPr>
            <w:tcW w:w="6819" w:type="dxa"/>
            <w:tcBorders>
              <w:top w:val="nil"/>
              <w:left w:val="nil"/>
              <w:bottom w:val="nil"/>
              <w:right w:val="nil"/>
            </w:tcBorders>
            <w:shd w:val="clear" w:color="auto" w:fill="auto"/>
            <w:noWrap/>
            <w:vAlign w:val="bottom"/>
            <w:hideMark/>
          </w:tcPr>
          <w:p w:rsidR="00030A94" w:rsidRPr="006552E9" w:rsidRDefault="00030A94" w:rsidP="00D345C4">
            <w:pPr>
              <w:spacing w:before="0"/>
              <w:jc w:val="left"/>
              <w:rPr>
                <w:rFonts w:cs="Arial"/>
                <w:sz w:val="20"/>
                <w:szCs w:val="20"/>
              </w:rPr>
            </w:pPr>
            <w:r w:rsidRPr="006552E9">
              <w:rPr>
                <w:rFonts w:cs="Arial"/>
                <w:sz w:val="20"/>
                <w:szCs w:val="20"/>
              </w:rPr>
              <w:t>Post</w:t>
            </w:r>
            <w:r w:rsidR="00D345C4">
              <w:rPr>
                <w:rFonts w:cs="Arial"/>
                <w:sz w:val="20"/>
                <w:szCs w:val="20"/>
              </w:rPr>
              <w:t>-</w:t>
            </w:r>
            <w:r w:rsidRPr="006552E9">
              <w:rPr>
                <w:rFonts w:cs="Arial"/>
                <w:sz w:val="20"/>
                <w:szCs w:val="20"/>
              </w:rPr>
              <w:t>employment benefits</w:t>
            </w:r>
          </w:p>
        </w:tc>
        <w:tc>
          <w:tcPr>
            <w:tcW w:w="1134" w:type="dxa"/>
            <w:tcBorders>
              <w:top w:val="nil"/>
              <w:left w:val="nil"/>
              <w:bottom w:val="nil"/>
              <w:right w:val="nil"/>
            </w:tcBorders>
            <w:shd w:val="clear" w:color="auto" w:fill="auto"/>
            <w:noWrap/>
            <w:vAlign w:val="bottom"/>
            <w:hideMark/>
          </w:tcPr>
          <w:p w:rsidR="00030A94" w:rsidRPr="006552E9" w:rsidRDefault="00030A94" w:rsidP="00030A94">
            <w:pPr>
              <w:spacing w:before="0"/>
              <w:jc w:val="right"/>
              <w:rPr>
                <w:rFonts w:cs="Arial"/>
                <w:sz w:val="20"/>
                <w:szCs w:val="20"/>
              </w:rPr>
            </w:pPr>
            <w:r w:rsidRPr="006552E9">
              <w:rPr>
                <w:rFonts w:cs="Arial"/>
                <w:sz w:val="20"/>
                <w:szCs w:val="20"/>
              </w:rPr>
              <w:t xml:space="preserve"> 45 </w:t>
            </w:r>
          </w:p>
        </w:tc>
        <w:tc>
          <w:tcPr>
            <w:tcW w:w="1134" w:type="dxa"/>
            <w:tcBorders>
              <w:top w:val="nil"/>
              <w:left w:val="nil"/>
              <w:bottom w:val="nil"/>
              <w:right w:val="nil"/>
            </w:tcBorders>
            <w:shd w:val="clear" w:color="auto" w:fill="auto"/>
            <w:noWrap/>
            <w:vAlign w:val="bottom"/>
            <w:hideMark/>
          </w:tcPr>
          <w:p w:rsidR="00030A94" w:rsidRPr="006552E9" w:rsidRDefault="00030A94" w:rsidP="00030A94">
            <w:pPr>
              <w:spacing w:before="0"/>
              <w:jc w:val="right"/>
              <w:rPr>
                <w:rFonts w:cs="Arial"/>
                <w:sz w:val="20"/>
                <w:szCs w:val="20"/>
              </w:rPr>
            </w:pPr>
            <w:r w:rsidRPr="006552E9">
              <w:rPr>
                <w:rFonts w:cs="Arial"/>
                <w:sz w:val="20"/>
                <w:szCs w:val="20"/>
              </w:rPr>
              <w:t xml:space="preserve"> 37 </w:t>
            </w:r>
          </w:p>
        </w:tc>
      </w:tr>
      <w:tr w:rsidR="00D07AF2" w:rsidRPr="006552E9" w:rsidTr="00030A94">
        <w:trPr>
          <w:trHeight w:val="255"/>
        </w:trPr>
        <w:tc>
          <w:tcPr>
            <w:tcW w:w="6819" w:type="dxa"/>
            <w:tcBorders>
              <w:top w:val="nil"/>
              <w:left w:val="nil"/>
              <w:bottom w:val="nil"/>
              <w:right w:val="nil"/>
            </w:tcBorders>
            <w:shd w:val="clear" w:color="auto" w:fill="auto"/>
            <w:noWrap/>
            <w:vAlign w:val="bottom"/>
            <w:hideMark/>
          </w:tcPr>
          <w:p w:rsidR="00D07AF2" w:rsidRPr="006552E9" w:rsidRDefault="00D07AF2" w:rsidP="00D07AF2">
            <w:pPr>
              <w:spacing w:before="0"/>
              <w:jc w:val="left"/>
              <w:rPr>
                <w:rFonts w:cs="Arial"/>
                <w:sz w:val="20"/>
                <w:szCs w:val="20"/>
              </w:rPr>
            </w:pPr>
            <w:r w:rsidRPr="006552E9">
              <w:rPr>
                <w:rFonts w:cs="Arial"/>
                <w:sz w:val="20"/>
                <w:szCs w:val="20"/>
              </w:rPr>
              <w:t>Other long-term benefits (long service leave)</w:t>
            </w:r>
          </w:p>
        </w:tc>
        <w:tc>
          <w:tcPr>
            <w:tcW w:w="1134" w:type="dxa"/>
            <w:tcBorders>
              <w:top w:val="nil"/>
              <w:left w:val="nil"/>
              <w:bottom w:val="nil"/>
              <w:right w:val="nil"/>
            </w:tcBorders>
            <w:shd w:val="clear" w:color="auto" w:fill="auto"/>
            <w:noWrap/>
            <w:vAlign w:val="bottom"/>
            <w:hideMark/>
          </w:tcPr>
          <w:p w:rsidR="00D07AF2" w:rsidRPr="006552E9" w:rsidRDefault="0087298E" w:rsidP="00030A94">
            <w:pPr>
              <w:spacing w:before="0"/>
              <w:jc w:val="right"/>
              <w:rPr>
                <w:rFonts w:cs="Arial"/>
                <w:sz w:val="20"/>
                <w:szCs w:val="20"/>
              </w:rPr>
            </w:pPr>
            <w:r w:rsidRPr="006552E9">
              <w:rPr>
                <w:rFonts w:cs="Arial"/>
                <w:sz w:val="20"/>
                <w:szCs w:val="20"/>
              </w:rPr>
              <w:t xml:space="preserve"> </w:t>
            </w:r>
            <w:r w:rsidR="00D07AF2" w:rsidRPr="006552E9">
              <w:rPr>
                <w:rFonts w:cs="Arial"/>
                <w:sz w:val="20"/>
                <w:szCs w:val="20"/>
              </w:rPr>
              <w:t>(2)</w:t>
            </w:r>
          </w:p>
        </w:tc>
        <w:tc>
          <w:tcPr>
            <w:tcW w:w="1134" w:type="dxa"/>
            <w:tcBorders>
              <w:top w:val="nil"/>
              <w:left w:val="nil"/>
              <w:bottom w:val="nil"/>
              <w:right w:val="nil"/>
            </w:tcBorders>
            <w:shd w:val="clear" w:color="auto" w:fill="auto"/>
            <w:noWrap/>
            <w:vAlign w:val="bottom"/>
            <w:hideMark/>
          </w:tcPr>
          <w:p w:rsidR="00D07AF2" w:rsidRPr="006552E9" w:rsidRDefault="0087298E" w:rsidP="00030A94">
            <w:pPr>
              <w:spacing w:before="0"/>
              <w:jc w:val="right"/>
              <w:rPr>
                <w:rFonts w:cs="Arial"/>
                <w:sz w:val="20"/>
                <w:szCs w:val="20"/>
              </w:rPr>
            </w:pPr>
            <w:r w:rsidRPr="006552E9">
              <w:rPr>
                <w:rFonts w:cs="Arial"/>
                <w:sz w:val="20"/>
                <w:szCs w:val="20"/>
              </w:rPr>
              <w:t xml:space="preserve"> </w:t>
            </w:r>
            <w:r w:rsidR="00D07AF2" w:rsidRPr="006552E9">
              <w:rPr>
                <w:rFonts w:cs="Arial"/>
                <w:sz w:val="20"/>
                <w:szCs w:val="20"/>
              </w:rPr>
              <w:t xml:space="preserve">2 </w:t>
            </w:r>
          </w:p>
        </w:tc>
      </w:tr>
      <w:tr w:rsidR="00030A94" w:rsidRPr="006552E9" w:rsidTr="00A00ED0">
        <w:trPr>
          <w:trHeight w:val="270"/>
        </w:trPr>
        <w:tc>
          <w:tcPr>
            <w:tcW w:w="6819" w:type="dxa"/>
            <w:tcBorders>
              <w:top w:val="nil"/>
              <w:left w:val="nil"/>
              <w:bottom w:val="nil"/>
              <w:right w:val="nil"/>
            </w:tcBorders>
            <w:shd w:val="clear" w:color="auto" w:fill="auto"/>
            <w:noWrap/>
            <w:vAlign w:val="bottom"/>
            <w:hideMark/>
          </w:tcPr>
          <w:p w:rsidR="00030A94" w:rsidRPr="006552E9" w:rsidRDefault="00030A94" w:rsidP="00D07AF2">
            <w:pPr>
              <w:spacing w:before="0"/>
              <w:jc w:val="left"/>
              <w:rPr>
                <w:rFonts w:cs="Arial"/>
                <w:sz w:val="20"/>
                <w:szCs w:val="20"/>
              </w:rPr>
            </w:pPr>
          </w:p>
        </w:tc>
        <w:tc>
          <w:tcPr>
            <w:tcW w:w="1134" w:type="dxa"/>
            <w:tcBorders>
              <w:top w:val="single" w:sz="4" w:space="0" w:color="auto"/>
              <w:left w:val="nil"/>
              <w:bottom w:val="double" w:sz="6" w:space="0" w:color="auto"/>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1,171 </w:t>
            </w:r>
          </w:p>
        </w:tc>
        <w:tc>
          <w:tcPr>
            <w:tcW w:w="1134" w:type="dxa"/>
            <w:tcBorders>
              <w:top w:val="single" w:sz="4" w:space="0" w:color="auto"/>
              <w:left w:val="nil"/>
              <w:bottom w:val="double" w:sz="6" w:space="0" w:color="auto"/>
              <w:right w:val="nil"/>
            </w:tcBorders>
            <w:shd w:val="clear" w:color="auto" w:fill="auto"/>
            <w:noWrap/>
            <w:vAlign w:val="bottom"/>
            <w:hideMark/>
          </w:tcPr>
          <w:p w:rsidR="00030A94" w:rsidRPr="006552E9" w:rsidRDefault="00030A94" w:rsidP="00030A94">
            <w:pPr>
              <w:spacing w:before="0"/>
              <w:jc w:val="right"/>
              <w:rPr>
                <w:rFonts w:cs="Arial"/>
                <w:b/>
                <w:bCs/>
                <w:sz w:val="20"/>
                <w:szCs w:val="20"/>
              </w:rPr>
            </w:pPr>
            <w:r w:rsidRPr="006552E9">
              <w:rPr>
                <w:rFonts w:cs="Arial"/>
                <w:b/>
                <w:bCs/>
                <w:sz w:val="20"/>
                <w:szCs w:val="20"/>
              </w:rPr>
              <w:t xml:space="preserve"> 1,171 </w:t>
            </w:r>
          </w:p>
        </w:tc>
      </w:tr>
    </w:tbl>
    <w:p w:rsidR="00DC31A7" w:rsidRPr="006552E9" w:rsidRDefault="00D07AF2" w:rsidP="00804968">
      <w:r w:rsidRPr="006552E9">
        <w:t>Key management personnel include the Chief Executive and six members of the Senior Leadership Team as well as members of the Arts Council, Arts Board, Te Waka Toi and the Pacific Arts Committee.</w:t>
      </w:r>
    </w:p>
    <w:p w:rsidR="0029526F" w:rsidRPr="006552E9" w:rsidRDefault="0029526F" w:rsidP="00E22C83">
      <w:pPr>
        <w:pStyle w:val="Style1"/>
      </w:pPr>
      <w:r w:rsidRPr="006552E9">
        <w:t>27.</w:t>
      </w:r>
      <w:r w:rsidRPr="006552E9">
        <w:tab/>
        <w:t>Financial instruments</w:t>
      </w:r>
    </w:p>
    <w:p w:rsidR="0029526F" w:rsidRPr="006552E9" w:rsidRDefault="00D07AF2" w:rsidP="00D07AF2">
      <w:pPr>
        <w:pStyle w:val="Heading4"/>
      </w:pPr>
      <w:r w:rsidRPr="006552E9">
        <w:t>27.1</w:t>
      </w:r>
      <w:r w:rsidRPr="006552E9">
        <w:tab/>
        <w:t>Financial instrument categories</w:t>
      </w:r>
    </w:p>
    <w:p w:rsidR="00D07AF2" w:rsidRPr="006552E9" w:rsidRDefault="00D07AF2" w:rsidP="00D07AF2">
      <w:r w:rsidRPr="006552E9">
        <w:t>The carrying amounts of financial assets and liabilities in each of the NZ IAS 39 categories are as follows:</w:t>
      </w:r>
    </w:p>
    <w:tbl>
      <w:tblPr>
        <w:tblW w:w="9087" w:type="dxa"/>
        <w:tblInd w:w="93" w:type="dxa"/>
        <w:tblLook w:val="04A0" w:firstRow="1" w:lastRow="0" w:firstColumn="1" w:lastColumn="0" w:noHBand="0" w:noVBand="1"/>
      </w:tblPr>
      <w:tblGrid>
        <w:gridCol w:w="6819"/>
        <w:gridCol w:w="1134"/>
        <w:gridCol w:w="1134"/>
      </w:tblGrid>
      <w:tr w:rsidR="00472253" w:rsidRPr="006552E9" w:rsidTr="00472253">
        <w:trPr>
          <w:trHeight w:val="255"/>
        </w:trPr>
        <w:tc>
          <w:tcPr>
            <w:tcW w:w="6819" w:type="dxa"/>
            <w:tcBorders>
              <w:top w:val="nil"/>
              <w:left w:val="nil"/>
              <w:right w:val="nil"/>
            </w:tcBorders>
            <w:shd w:val="clear" w:color="auto" w:fill="auto"/>
            <w:noWrap/>
            <w:vAlign w:val="bottom"/>
            <w:hideMark/>
          </w:tcPr>
          <w:p w:rsidR="00472253" w:rsidRPr="006552E9" w:rsidRDefault="00472253" w:rsidP="00D07AF2">
            <w:pPr>
              <w:spacing w:before="0"/>
              <w:jc w:val="left"/>
              <w:rPr>
                <w:rFonts w:cs="Arial"/>
                <w:sz w:val="20"/>
                <w:szCs w:val="20"/>
              </w:rPr>
            </w:pPr>
          </w:p>
        </w:tc>
        <w:tc>
          <w:tcPr>
            <w:tcW w:w="1134" w:type="dxa"/>
            <w:tcBorders>
              <w:top w:val="nil"/>
              <w:left w:val="nil"/>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2013</w:t>
            </w:r>
          </w:p>
        </w:tc>
        <w:tc>
          <w:tcPr>
            <w:tcW w:w="1134" w:type="dxa"/>
            <w:tcBorders>
              <w:top w:val="nil"/>
              <w:left w:val="nil"/>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2012</w:t>
            </w:r>
          </w:p>
        </w:tc>
      </w:tr>
      <w:tr w:rsidR="00472253" w:rsidRPr="006552E9" w:rsidTr="00472253">
        <w:trPr>
          <w:trHeight w:val="255"/>
        </w:trPr>
        <w:tc>
          <w:tcPr>
            <w:tcW w:w="6819" w:type="dxa"/>
            <w:tcBorders>
              <w:top w:val="nil"/>
              <w:left w:val="nil"/>
              <w:bottom w:val="single" w:sz="4" w:space="0" w:color="auto"/>
              <w:right w:val="nil"/>
            </w:tcBorders>
            <w:shd w:val="clear" w:color="auto" w:fill="auto"/>
            <w:noWrap/>
            <w:vAlign w:val="bottom"/>
            <w:hideMark/>
          </w:tcPr>
          <w:p w:rsidR="00472253" w:rsidRPr="006552E9" w:rsidRDefault="00472253" w:rsidP="00D07AF2">
            <w:pPr>
              <w:spacing w:before="0"/>
              <w:jc w:val="left"/>
              <w:rPr>
                <w:rFonts w:cs="Arial"/>
                <w:sz w:val="20"/>
                <w:szCs w:val="20"/>
              </w:rPr>
            </w:pPr>
          </w:p>
        </w:tc>
        <w:tc>
          <w:tcPr>
            <w:tcW w:w="1134" w:type="dxa"/>
            <w:tcBorders>
              <w:top w:val="nil"/>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$000</w:t>
            </w:r>
          </w:p>
        </w:tc>
        <w:tc>
          <w:tcPr>
            <w:tcW w:w="1134" w:type="dxa"/>
            <w:tcBorders>
              <w:top w:val="nil"/>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$000</w:t>
            </w:r>
          </w:p>
        </w:tc>
      </w:tr>
      <w:tr w:rsidR="00472253" w:rsidRPr="006552E9" w:rsidTr="00472253">
        <w:trPr>
          <w:trHeight w:val="255"/>
        </w:trPr>
        <w:tc>
          <w:tcPr>
            <w:tcW w:w="6819" w:type="dxa"/>
            <w:tcBorders>
              <w:top w:val="single" w:sz="4" w:space="0" w:color="auto"/>
              <w:left w:val="nil"/>
              <w:bottom w:val="nil"/>
              <w:right w:val="nil"/>
            </w:tcBorders>
            <w:shd w:val="clear" w:color="auto" w:fill="auto"/>
            <w:noWrap/>
            <w:vAlign w:val="bottom"/>
            <w:hideMark/>
          </w:tcPr>
          <w:p w:rsidR="00472253" w:rsidRPr="006552E9" w:rsidRDefault="00472253" w:rsidP="00D07AF2">
            <w:pPr>
              <w:spacing w:before="0"/>
              <w:jc w:val="left"/>
              <w:rPr>
                <w:rFonts w:cs="Arial"/>
                <w:b/>
                <w:bCs/>
                <w:sz w:val="20"/>
                <w:szCs w:val="20"/>
              </w:rPr>
            </w:pPr>
            <w:r w:rsidRPr="006552E9">
              <w:rPr>
                <w:rFonts w:cs="Arial"/>
                <w:b/>
                <w:bCs/>
                <w:sz w:val="20"/>
                <w:szCs w:val="20"/>
              </w:rPr>
              <w:t xml:space="preserve">Financial </w:t>
            </w:r>
            <w:r w:rsidR="00D345C4" w:rsidRPr="006552E9">
              <w:rPr>
                <w:rFonts w:cs="Arial"/>
                <w:b/>
                <w:bCs/>
                <w:sz w:val="20"/>
                <w:szCs w:val="20"/>
              </w:rPr>
              <w:t>assets</w:t>
            </w:r>
          </w:p>
        </w:tc>
        <w:tc>
          <w:tcPr>
            <w:tcW w:w="1134" w:type="dxa"/>
            <w:tcBorders>
              <w:top w:val="single" w:sz="4" w:space="0" w:color="auto"/>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c>
          <w:tcPr>
            <w:tcW w:w="1134" w:type="dxa"/>
            <w:tcBorders>
              <w:top w:val="single" w:sz="4" w:space="0" w:color="auto"/>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 xml:space="preserve">Loans and </w:t>
            </w:r>
            <w:r w:rsidR="00D345C4" w:rsidRPr="006552E9">
              <w:rPr>
                <w:rFonts w:cs="Arial"/>
                <w:sz w:val="20"/>
                <w:szCs w:val="20"/>
              </w:rPr>
              <w:t>receivables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Cash and cash equivalents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7,645 </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12,697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Investments in term deposits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7,500 </w:t>
            </w:r>
          </w:p>
        </w:tc>
        <w:tc>
          <w:tcPr>
            <w:tcW w:w="1134" w:type="dxa"/>
            <w:tcBorders>
              <w:top w:val="nil"/>
              <w:left w:val="nil"/>
              <w:bottom w:val="nil"/>
              <w:right w:val="nil"/>
            </w:tcBorders>
            <w:shd w:val="clear" w:color="auto" w:fill="auto"/>
            <w:noWrap/>
            <w:vAlign w:val="bottom"/>
            <w:hideMark/>
          </w:tcPr>
          <w:p w:rsidR="00472253" w:rsidRPr="006552E9" w:rsidRDefault="00C02722" w:rsidP="00472253">
            <w:pPr>
              <w:spacing w:before="0"/>
              <w:jc w:val="right"/>
              <w:rPr>
                <w:rFonts w:cs="Arial"/>
                <w:sz w:val="20"/>
                <w:szCs w:val="20"/>
              </w:rPr>
            </w:pPr>
            <w:r>
              <w:rPr>
                <w:rFonts w:cs="Arial"/>
                <w:sz w:val="20"/>
                <w:szCs w:val="20"/>
              </w:rPr>
              <w:t xml:space="preserve"> </w:t>
            </w:r>
            <w:r w:rsidR="00877D63">
              <w:rPr>
                <w:rFonts w:cs="Arial"/>
                <w:sz w:val="20"/>
                <w:szCs w:val="20"/>
              </w:rPr>
              <w:t>–</w:t>
            </w:r>
            <w:r w:rsidR="00472253" w:rsidRPr="006552E9">
              <w:rPr>
                <w:rFonts w:cs="Arial"/>
                <w:sz w:val="20"/>
                <w:szCs w:val="20"/>
              </w:rPr>
              <w:t xml:space="preserve">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Debtors and other receivables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7,297 </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7,009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b/>
                <w:bCs/>
                <w:sz w:val="20"/>
                <w:szCs w:val="20"/>
              </w:rPr>
            </w:pPr>
            <w:r w:rsidRPr="006552E9">
              <w:rPr>
                <w:rFonts w:cs="Arial"/>
                <w:b/>
                <w:bCs/>
                <w:sz w:val="20"/>
                <w:szCs w:val="20"/>
              </w:rPr>
              <w:t xml:space="preserve">Total </w:t>
            </w:r>
            <w:r w:rsidR="00D345C4" w:rsidRPr="006552E9">
              <w:rPr>
                <w:rFonts w:cs="Arial"/>
                <w:b/>
                <w:bCs/>
                <w:sz w:val="20"/>
                <w:szCs w:val="20"/>
              </w:rPr>
              <w:t>financial as</w:t>
            </w:r>
            <w:r w:rsidRPr="006552E9">
              <w:rPr>
                <w:rFonts w:cs="Arial"/>
                <w:b/>
                <w:bCs/>
                <w:sz w:val="20"/>
                <w:szCs w:val="20"/>
              </w:rPr>
              <w:t>sets</w:t>
            </w:r>
          </w:p>
        </w:tc>
        <w:tc>
          <w:tcPr>
            <w:tcW w:w="1134"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 xml:space="preserve"> 22,442 </w:t>
            </w:r>
          </w:p>
        </w:tc>
        <w:tc>
          <w:tcPr>
            <w:tcW w:w="1134"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 xml:space="preserve"> 19,706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b/>
                <w:bCs/>
                <w:sz w:val="20"/>
                <w:szCs w:val="20"/>
              </w:rPr>
            </w:pPr>
            <w:r w:rsidRPr="006552E9">
              <w:rPr>
                <w:rFonts w:cs="Arial"/>
                <w:b/>
                <w:bCs/>
                <w:sz w:val="20"/>
                <w:szCs w:val="20"/>
              </w:rPr>
              <w:t xml:space="preserve">Financial </w:t>
            </w:r>
            <w:r w:rsidR="00D345C4" w:rsidRPr="006552E9">
              <w:rPr>
                <w:rFonts w:cs="Arial"/>
                <w:b/>
                <w:bCs/>
                <w:sz w:val="20"/>
                <w:szCs w:val="20"/>
              </w:rPr>
              <w:t>liabilities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 xml:space="preserve"> Financial </w:t>
            </w:r>
            <w:r w:rsidR="00D345C4" w:rsidRPr="006552E9">
              <w:rPr>
                <w:rFonts w:cs="Arial"/>
                <w:sz w:val="20"/>
                <w:szCs w:val="20"/>
              </w:rPr>
              <w:t>liabilities at amortised cost</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Creditors and other payables</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1,449 </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1,994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sz w:val="20"/>
                <w:szCs w:val="20"/>
              </w:rPr>
            </w:pPr>
            <w:r w:rsidRPr="006552E9">
              <w:rPr>
                <w:rFonts w:cs="Arial"/>
                <w:sz w:val="20"/>
                <w:szCs w:val="20"/>
              </w:rPr>
              <w:t>Grants payable</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13,239 </w:t>
            </w:r>
          </w:p>
        </w:tc>
        <w:tc>
          <w:tcPr>
            <w:tcW w:w="1134" w:type="dxa"/>
            <w:tcBorders>
              <w:top w:val="nil"/>
              <w:left w:val="nil"/>
              <w:bottom w:val="nil"/>
              <w:right w:val="nil"/>
            </w:tcBorders>
            <w:shd w:val="clear" w:color="auto" w:fill="auto"/>
            <w:noWrap/>
            <w:vAlign w:val="bottom"/>
            <w:hideMark/>
          </w:tcPr>
          <w:p w:rsidR="00472253" w:rsidRPr="006552E9" w:rsidRDefault="00472253" w:rsidP="00472253">
            <w:pPr>
              <w:spacing w:before="0"/>
              <w:jc w:val="right"/>
              <w:rPr>
                <w:rFonts w:cs="Arial"/>
                <w:sz w:val="20"/>
                <w:szCs w:val="20"/>
              </w:rPr>
            </w:pPr>
            <w:r w:rsidRPr="006552E9">
              <w:rPr>
                <w:rFonts w:cs="Arial"/>
                <w:sz w:val="20"/>
                <w:szCs w:val="20"/>
              </w:rPr>
              <w:t xml:space="preserve"> 12,193 </w:t>
            </w:r>
          </w:p>
        </w:tc>
      </w:tr>
      <w:tr w:rsidR="00472253" w:rsidRPr="006552E9" w:rsidTr="00472253">
        <w:trPr>
          <w:trHeight w:val="255"/>
        </w:trPr>
        <w:tc>
          <w:tcPr>
            <w:tcW w:w="6819" w:type="dxa"/>
            <w:tcBorders>
              <w:top w:val="nil"/>
              <w:left w:val="nil"/>
              <w:bottom w:val="nil"/>
              <w:right w:val="nil"/>
            </w:tcBorders>
            <w:shd w:val="clear" w:color="auto" w:fill="auto"/>
            <w:noWrap/>
            <w:vAlign w:val="bottom"/>
            <w:hideMark/>
          </w:tcPr>
          <w:p w:rsidR="00472253" w:rsidRPr="006552E9" w:rsidRDefault="00472253" w:rsidP="00D07AF2">
            <w:pPr>
              <w:spacing w:before="0"/>
              <w:jc w:val="left"/>
              <w:rPr>
                <w:rFonts w:cs="Arial"/>
                <w:b/>
                <w:bCs/>
                <w:sz w:val="20"/>
                <w:szCs w:val="20"/>
              </w:rPr>
            </w:pPr>
            <w:r w:rsidRPr="006552E9">
              <w:rPr>
                <w:rFonts w:cs="Arial"/>
                <w:b/>
                <w:bCs/>
                <w:sz w:val="20"/>
                <w:szCs w:val="20"/>
              </w:rPr>
              <w:t xml:space="preserve">Total </w:t>
            </w:r>
            <w:r w:rsidR="00D345C4" w:rsidRPr="006552E9">
              <w:rPr>
                <w:rFonts w:cs="Arial"/>
                <w:b/>
                <w:bCs/>
                <w:sz w:val="20"/>
                <w:szCs w:val="20"/>
              </w:rPr>
              <w:t>financial liabilities</w:t>
            </w:r>
          </w:p>
        </w:tc>
        <w:tc>
          <w:tcPr>
            <w:tcW w:w="1134"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 xml:space="preserve"> 14,688 </w:t>
            </w:r>
          </w:p>
        </w:tc>
        <w:tc>
          <w:tcPr>
            <w:tcW w:w="1134"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72253">
            <w:pPr>
              <w:spacing w:before="0"/>
              <w:jc w:val="right"/>
              <w:rPr>
                <w:rFonts w:cs="Arial"/>
                <w:b/>
                <w:bCs/>
                <w:sz w:val="20"/>
                <w:szCs w:val="20"/>
              </w:rPr>
            </w:pPr>
            <w:r w:rsidRPr="006552E9">
              <w:rPr>
                <w:rFonts w:cs="Arial"/>
                <w:b/>
                <w:bCs/>
                <w:sz w:val="20"/>
                <w:szCs w:val="20"/>
              </w:rPr>
              <w:t xml:space="preserve"> 14,187 </w:t>
            </w:r>
          </w:p>
        </w:tc>
      </w:tr>
    </w:tbl>
    <w:p w:rsidR="00D07AF2" w:rsidRPr="006552E9" w:rsidRDefault="00D07AF2" w:rsidP="00D07AF2">
      <w:r w:rsidRPr="006552E9">
        <w:t>The carrying value of financial assets and liabilities equates to their fair value at 30 June.</w:t>
      </w:r>
    </w:p>
    <w:p w:rsidR="00D07AF2" w:rsidRPr="006552E9" w:rsidRDefault="00D07AF2" w:rsidP="00D07AF2">
      <w:pPr>
        <w:pStyle w:val="Heading4"/>
      </w:pPr>
      <w:r w:rsidRPr="006552E9">
        <w:t>27.2</w:t>
      </w:r>
      <w:r w:rsidRPr="006552E9">
        <w:tab/>
        <w:t>Financial instrument risks</w:t>
      </w:r>
    </w:p>
    <w:p w:rsidR="00D07AF2" w:rsidRPr="006552E9" w:rsidRDefault="00D07AF2" w:rsidP="00D07AF2">
      <w:pPr>
        <w:rPr>
          <w:highlight w:val="yellow"/>
        </w:rPr>
      </w:pPr>
      <w:r w:rsidRPr="006552E9">
        <w:t>Creative New Zealand’s activities expose it to a variety of financial instrument risks, including market risk, credit risk and liquidity risk. Creative New Zealand has policies in place to manage the risks associated with financial instruments and seeks to minimise exposure. These policies do not allow any transactions that are speculative in nature to be entered into.</w:t>
      </w:r>
      <w:r w:rsidRPr="006552E9">
        <w:rPr>
          <w:highlight w:val="yellow"/>
        </w:rPr>
        <w:t xml:space="preserve"> </w:t>
      </w:r>
    </w:p>
    <w:p w:rsidR="00D07AF2" w:rsidRPr="006552E9" w:rsidRDefault="00D07AF2" w:rsidP="00D07AF2">
      <w:pPr>
        <w:pStyle w:val="Heading5"/>
      </w:pPr>
      <w:r w:rsidRPr="006552E9">
        <w:t>27.2.1</w:t>
      </w:r>
      <w:r w:rsidRPr="006552E9">
        <w:tab/>
        <w:t xml:space="preserve"> Market risk</w:t>
      </w:r>
    </w:p>
    <w:p w:rsidR="00D07AF2" w:rsidRPr="006552E9" w:rsidRDefault="00D07AF2" w:rsidP="00D07AF2">
      <w:pPr>
        <w:keepNext/>
        <w:rPr>
          <w:i/>
        </w:rPr>
      </w:pPr>
      <w:r w:rsidRPr="006552E9">
        <w:rPr>
          <w:i/>
        </w:rPr>
        <w:t>Price risk</w:t>
      </w:r>
    </w:p>
    <w:p w:rsidR="00D07AF2" w:rsidRPr="006552E9" w:rsidRDefault="00D07AF2" w:rsidP="00D07AF2">
      <w:pPr>
        <w:rPr>
          <w:highlight w:val="yellow"/>
        </w:rPr>
      </w:pPr>
      <w:r w:rsidRPr="006552E9">
        <w:t>Price risk is the risk that the value of a financial instrument will fluctuate as a result of changes in market prices. Creative New Zealand does not invest in publicly traded financial instruments, therefore, the price risk is considered to be minimal.</w:t>
      </w:r>
      <w:r w:rsidRPr="006552E9">
        <w:rPr>
          <w:highlight w:val="yellow"/>
        </w:rPr>
        <w:t xml:space="preserve"> </w:t>
      </w:r>
    </w:p>
    <w:p w:rsidR="00D07AF2" w:rsidRPr="006552E9" w:rsidRDefault="00D07AF2" w:rsidP="00D07AF2">
      <w:r w:rsidRPr="006552E9">
        <w:rPr>
          <w:i/>
        </w:rPr>
        <w:t>Currency risk</w:t>
      </w:r>
    </w:p>
    <w:p w:rsidR="00D07AF2" w:rsidRPr="006552E9" w:rsidRDefault="00D07AF2" w:rsidP="00D07AF2">
      <w:r w:rsidRPr="006552E9">
        <w:t xml:space="preserve">Currency risk is the risk that the fair value or future </w:t>
      </w:r>
      <w:r w:rsidR="008F45DE">
        <w:t>cash flow</w:t>
      </w:r>
      <w:r w:rsidRPr="006552E9">
        <w:t xml:space="preserve">s of a financial instrument will fluctuate due to changes in foreign exchange rates. </w:t>
      </w:r>
    </w:p>
    <w:p w:rsidR="00D07AF2" w:rsidRPr="006552E9" w:rsidRDefault="00D07AF2" w:rsidP="00D07AF2">
      <w:r w:rsidRPr="006552E9">
        <w:t>Creative New Zealand is exposed to foreign currency risk on payments and liabilities that are denominated in a currency other than Creative New Zealand’s functional and presentational currency, New Zealand dollars.</w:t>
      </w:r>
    </w:p>
    <w:p w:rsidR="00D07AF2" w:rsidRPr="006552E9" w:rsidRDefault="00D07AF2" w:rsidP="00D07AF2">
      <w:pPr>
        <w:rPr>
          <w:highlight w:val="yellow"/>
        </w:rPr>
      </w:pPr>
      <w:r w:rsidRPr="006552E9">
        <w:t>The level of payments in foreign currencies is small and the time between commitment and payment of the liability is generally less than one month, therefore, Creative New Zealand considers foreign exchange risk to be minimal. No forward contracts are entered into to hedge foreign currency risk exposure.</w:t>
      </w:r>
      <w:r w:rsidRPr="006552E9">
        <w:rPr>
          <w:highlight w:val="yellow"/>
        </w:rPr>
        <w:t xml:space="preserve"> </w:t>
      </w:r>
    </w:p>
    <w:p w:rsidR="00D07AF2" w:rsidRPr="006552E9" w:rsidRDefault="00D07AF2" w:rsidP="00D07AF2">
      <w:r w:rsidRPr="006552E9">
        <w:rPr>
          <w:i/>
        </w:rPr>
        <w:t>Fair value interest rate risk</w:t>
      </w:r>
    </w:p>
    <w:p w:rsidR="00D07AF2" w:rsidRPr="006552E9" w:rsidRDefault="00D07AF2" w:rsidP="00D07AF2">
      <w:r w:rsidRPr="006552E9">
        <w:t xml:space="preserve">Fair value interest rate risk is the risk that the fair value of a financial instrument will fluctuate due to changes in market interest rates. </w:t>
      </w:r>
    </w:p>
    <w:p w:rsidR="00D07AF2" w:rsidRPr="006552E9" w:rsidRDefault="00D07AF2" w:rsidP="00D07AF2">
      <w:r w:rsidRPr="006552E9">
        <w:t xml:space="preserve">Creative New Zealand’s exposure to fair value interest rate risk is limited to its bank deposits, which are held at fixed rates of interest. The fair value interest rate risk is considered to be minimal. </w:t>
      </w:r>
    </w:p>
    <w:p w:rsidR="00D07AF2" w:rsidRPr="006552E9" w:rsidRDefault="008F45DE" w:rsidP="00D07AF2">
      <w:pPr>
        <w:rPr>
          <w:i/>
        </w:rPr>
      </w:pPr>
      <w:r>
        <w:rPr>
          <w:i/>
        </w:rPr>
        <w:t>Cash flow</w:t>
      </w:r>
      <w:r w:rsidR="00D07AF2" w:rsidRPr="006552E9">
        <w:rPr>
          <w:i/>
        </w:rPr>
        <w:t xml:space="preserve"> interest rate risk</w:t>
      </w:r>
    </w:p>
    <w:p w:rsidR="00D07AF2" w:rsidRPr="006552E9" w:rsidRDefault="008F45DE" w:rsidP="00D07AF2">
      <w:r>
        <w:t>Cash flow</w:t>
      </w:r>
      <w:r w:rsidR="00D07AF2" w:rsidRPr="006552E9">
        <w:t xml:space="preserve"> interest rate risk is the risk that the </w:t>
      </w:r>
      <w:r>
        <w:t>cash flow</w:t>
      </w:r>
      <w:r w:rsidR="00D07AF2" w:rsidRPr="006552E9">
        <w:t xml:space="preserve">s from a financial instrument will fluctuate due to changes in market interest rates. </w:t>
      </w:r>
    </w:p>
    <w:p w:rsidR="00D07AF2" w:rsidRPr="006552E9" w:rsidRDefault="00D07AF2" w:rsidP="00D07AF2">
      <w:r w:rsidRPr="006552E9">
        <w:t xml:space="preserve">Creative New Zealand has no borrowings and has adopted a policy of holding </w:t>
      </w:r>
      <w:r w:rsidR="00186401">
        <w:t>short-term</w:t>
      </w:r>
      <w:r w:rsidRPr="006552E9">
        <w:t xml:space="preserve"> investments until maturity at a fixed rate. Therefore, the </w:t>
      </w:r>
      <w:r w:rsidR="008F45DE">
        <w:t>cash flow</w:t>
      </w:r>
      <w:r w:rsidRPr="006552E9">
        <w:t xml:space="preserve"> interest rate risk is considered to be minimal.</w:t>
      </w:r>
    </w:p>
    <w:p w:rsidR="00D07AF2" w:rsidRPr="006552E9" w:rsidRDefault="00D07AF2" w:rsidP="00D07AF2">
      <w:pPr>
        <w:rPr>
          <w:highlight w:val="yellow"/>
        </w:rPr>
      </w:pPr>
      <w:r w:rsidRPr="006552E9">
        <w:t xml:space="preserve">The interest rates for </w:t>
      </w:r>
      <w:r w:rsidR="00A72BA6">
        <w:t>fixed-term</w:t>
      </w:r>
      <w:r w:rsidRPr="006552E9">
        <w:t xml:space="preserve"> deposits at 30 June 2013 were ranging between 3.97 percent and 4.19 percent (2012: 4.0 percent and 4.1 percent).</w:t>
      </w:r>
      <w:r w:rsidR="0087298E" w:rsidRPr="006552E9">
        <w:t xml:space="preserve"> </w:t>
      </w:r>
      <w:r w:rsidRPr="006552E9">
        <w:t>Call deposits are invested at the interest rate of 2.75 percent at 30 June 2013 (2012: 3.1 percent).</w:t>
      </w:r>
      <w:r w:rsidRPr="006552E9">
        <w:rPr>
          <w:highlight w:val="yellow"/>
        </w:rPr>
        <w:t xml:space="preserve"> </w:t>
      </w:r>
    </w:p>
    <w:p w:rsidR="00D07AF2" w:rsidRPr="006552E9" w:rsidRDefault="00D07AF2" w:rsidP="00D07AF2">
      <w:pPr>
        <w:pStyle w:val="Heading4"/>
      </w:pPr>
      <w:r w:rsidRPr="006552E9">
        <w:t>2</w:t>
      </w:r>
      <w:r w:rsidR="000F4BF7" w:rsidRPr="006552E9">
        <w:t>7</w:t>
      </w:r>
      <w:r w:rsidRPr="006552E9">
        <w:t>.3</w:t>
      </w:r>
      <w:r w:rsidRPr="006552E9">
        <w:tab/>
        <w:t>Credit risk</w:t>
      </w:r>
    </w:p>
    <w:p w:rsidR="00D07AF2" w:rsidRPr="006552E9" w:rsidRDefault="00D07AF2" w:rsidP="00D07AF2">
      <w:r w:rsidRPr="006552E9">
        <w:t xml:space="preserve">Credit risk is the risk that a third party will default on its obligations to Creative New Zealand, causing Creative New Zealand to incur a loss. </w:t>
      </w:r>
    </w:p>
    <w:p w:rsidR="00D07AF2" w:rsidRPr="006552E9" w:rsidRDefault="00D07AF2" w:rsidP="00D07AF2">
      <w:r w:rsidRPr="006552E9">
        <w:t>Financial instruments, which potentially subject Creative New Zealand to risk, consist principally of cash, bank deposits and trade debtors.</w:t>
      </w:r>
    </w:p>
    <w:p w:rsidR="00D07AF2" w:rsidRPr="006552E9" w:rsidRDefault="00D07AF2" w:rsidP="00D07AF2">
      <w:r w:rsidRPr="006552E9">
        <w:t>Creative New Zealand is only permitted to deposit funds with the major banks that have a high credit rating, as defined by the Crown Entities Act 2004. For its other financial instruments, Creative New Zealand does not have significant concentrations of credit risk.</w:t>
      </w:r>
    </w:p>
    <w:p w:rsidR="00D07AF2" w:rsidRPr="006552E9" w:rsidRDefault="00D07AF2" w:rsidP="00D07AF2">
      <w:r w:rsidRPr="006552E9">
        <w:t>Creative New Zealand’s maximum credit exposure for each class of financial instrument is represented by the total carrying amount of cash and cash equivalents and debtors and other receivables. There is no collateral held as security against these financial instruments.</w:t>
      </w:r>
    </w:p>
    <w:p w:rsidR="00D07AF2" w:rsidRPr="006552E9" w:rsidRDefault="00D07AF2" w:rsidP="00D07AF2">
      <w:pPr>
        <w:rPr>
          <w:i/>
        </w:rPr>
      </w:pPr>
      <w:r w:rsidRPr="006552E9">
        <w:rPr>
          <w:i/>
        </w:rPr>
        <w:t>Credit quality of financial assets</w:t>
      </w:r>
    </w:p>
    <w:p w:rsidR="00D07AF2" w:rsidRPr="006552E9" w:rsidRDefault="00D07AF2" w:rsidP="00D07AF2">
      <w:r w:rsidRPr="006552E9">
        <w:t>The credit quality of financial assets that are neither past due nor impaired can be assessed by reference to Standard and Poor’s credit ratings (if available) or to historical information about counterparty default rates.</w:t>
      </w:r>
    </w:p>
    <w:p w:rsidR="00472253" w:rsidRPr="006552E9" w:rsidRDefault="00472253" w:rsidP="00472253">
      <w:pPr>
        <w:pStyle w:val="Tabletext"/>
      </w:pPr>
    </w:p>
    <w:tbl>
      <w:tblPr>
        <w:tblW w:w="9390" w:type="dxa"/>
        <w:tblInd w:w="93" w:type="dxa"/>
        <w:tblLook w:val="04A0" w:firstRow="1" w:lastRow="0" w:firstColumn="1" w:lastColumn="0" w:noHBand="0" w:noVBand="1"/>
      </w:tblPr>
      <w:tblGrid>
        <w:gridCol w:w="7228"/>
        <w:gridCol w:w="1035"/>
        <w:gridCol w:w="1127"/>
      </w:tblGrid>
      <w:tr w:rsidR="00472253" w:rsidRPr="006552E9" w:rsidTr="004840AE">
        <w:trPr>
          <w:trHeight w:val="255"/>
        </w:trPr>
        <w:tc>
          <w:tcPr>
            <w:tcW w:w="7228" w:type="dxa"/>
            <w:tcBorders>
              <w:top w:val="nil"/>
              <w:left w:val="nil"/>
              <w:right w:val="nil"/>
            </w:tcBorders>
            <w:shd w:val="clear" w:color="auto" w:fill="auto"/>
            <w:noWrap/>
            <w:vAlign w:val="bottom"/>
            <w:hideMark/>
          </w:tcPr>
          <w:p w:rsidR="00472253" w:rsidRPr="006552E9" w:rsidRDefault="00472253" w:rsidP="000F4BF7">
            <w:pPr>
              <w:spacing w:before="0"/>
              <w:jc w:val="left"/>
              <w:rPr>
                <w:rFonts w:cs="Arial"/>
                <w:sz w:val="20"/>
                <w:szCs w:val="20"/>
              </w:rPr>
            </w:pPr>
          </w:p>
        </w:tc>
        <w:tc>
          <w:tcPr>
            <w:tcW w:w="1035" w:type="dxa"/>
            <w:tcBorders>
              <w:top w:val="nil"/>
              <w:left w:val="nil"/>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2013</w:t>
            </w:r>
          </w:p>
        </w:tc>
        <w:tc>
          <w:tcPr>
            <w:tcW w:w="1127" w:type="dxa"/>
            <w:tcBorders>
              <w:top w:val="nil"/>
              <w:left w:val="nil"/>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2012</w:t>
            </w:r>
          </w:p>
        </w:tc>
      </w:tr>
      <w:tr w:rsidR="00472253" w:rsidRPr="006552E9" w:rsidTr="004840AE">
        <w:trPr>
          <w:trHeight w:val="255"/>
        </w:trPr>
        <w:tc>
          <w:tcPr>
            <w:tcW w:w="7228" w:type="dxa"/>
            <w:tcBorders>
              <w:top w:val="nil"/>
              <w:left w:val="nil"/>
              <w:bottom w:val="single" w:sz="4" w:space="0" w:color="auto"/>
              <w:right w:val="nil"/>
            </w:tcBorders>
            <w:shd w:val="clear" w:color="auto" w:fill="auto"/>
            <w:noWrap/>
            <w:vAlign w:val="bottom"/>
            <w:hideMark/>
          </w:tcPr>
          <w:p w:rsidR="00472253" w:rsidRPr="006552E9" w:rsidRDefault="00472253" w:rsidP="000F4BF7">
            <w:pPr>
              <w:spacing w:before="0"/>
              <w:jc w:val="left"/>
              <w:rPr>
                <w:rFonts w:cs="Arial"/>
                <w:sz w:val="20"/>
                <w:szCs w:val="20"/>
              </w:rPr>
            </w:pPr>
          </w:p>
        </w:tc>
        <w:tc>
          <w:tcPr>
            <w:tcW w:w="1035" w:type="dxa"/>
            <w:tcBorders>
              <w:top w:val="nil"/>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$000</w:t>
            </w:r>
          </w:p>
        </w:tc>
        <w:tc>
          <w:tcPr>
            <w:tcW w:w="1127" w:type="dxa"/>
            <w:tcBorders>
              <w:top w:val="nil"/>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$000</w:t>
            </w:r>
          </w:p>
        </w:tc>
      </w:tr>
      <w:tr w:rsidR="00472253" w:rsidRPr="006552E9" w:rsidTr="004840AE">
        <w:trPr>
          <w:trHeight w:val="255"/>
        </w:trPr>
        <w:tc>
          <w:tcPr>
            <w:tcW w:w="7228" w:type="dxa"/>
            <w:tcBorders>
              <w:top w:val="single" w:sz="4" w:space="0" w:color="auto"/>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b/>
                <w:bCs/>
                <w:sz w:val="20"/>
                <w:szCs w:val="20"/>
              </w:rPr>
              <w:t>Counterparties with credit ratings</w:t>
            </w:r>
          </w:p>
        </w:tc>
        <w:tc>
          <w:tcPr>
            <w:tcW w:w="1035" w:type="dxa"/>
            <w:tcBorders>
              <w:top w:val="single" w:sz="4" w:space="0" w:color="auto"/>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single" w:sz="4" w:space="0" w:color="auto"/>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sz w:val="20"/>
                <w:szCs w:val="20"/>
              </w:rPr>
              <w:t>Cash and cash equivalents</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472253">
            <w:pPr>
              <w:spacing w:before="0"/>
              <w:ind w:left="170"/>
              <w:jc w:val="left"/>
              <w:rPr>
                <w:rFonts w:cs="Arial"/>
                <w:sz w:val="20"/>
                <w:szCs w:val="20"/>
              </w:rPr>
            </w:pPr>
            <w:r w:rsidRPr="006552E9">
              <w:rPr>
                <w:rFonts w:cs="Arial"/>
                <w:sz w:val="20"/>
                <w:szCs w:val="20"/>
              </w:rPr>
              <w:t>AA</w:t>
            </w:r>
            <w:r w:rsidR="004840AE" w:rsidRPr="006552E9">
              <w:rPr>
                <w:rStyle w:val="FootnoteReference"/>
                <w:rFonts w:cs="Arial"/>
                <w:sz w:val="20"/>
                <w:szCs w:val="20"/>
              </w:rPr>
              <w:footnoteReference w:id="25"/>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r w:rsidRPr="006552E9">
              <w:rPr>
                <w:rFonts w:cs="Arial"/>
                <w:sz w:val="20"/>
                <w:szCs w:val="20"/>
              </w:rPr>
              <w:t xml:space="preserve"> 7,645 </w:t>
            </w: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r w:rsidRPr="006552E9">
              <w:rPr>
                <w:rFonts w:cs="Arial"/>
                <w:sz w:val="20"/>
                <w:szCs w:val="20"/>
              </w:rPr>
              <w:t xml:space="preserve"> 12,697 </w:t>
            </w: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sz w:val="20"/>
                <w:szCs w:val="20"/>
              </w:rPr>
              <w:t>Investments in term deposits</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472253">
            <w:pPr>
              <w:spacing w:before="0"/>
              <w:ind w:left="170"/>
              <w:jc w:val="left"/>
              <w:rPr>
                <w:rFonts w:cs="Arial"/>
                <w:sz w:val="20"/>
                <w:szCs w:val="20"/>
              </w:rPr>
            </w:pPr>
            <w:r w:rsidRPr="006552E9">
              <w:rPr>
                <w:rFonts w:cs="Arial"/>
                <w:sz w:val="20"/>
                <w:szCs w:val="20"/>
              </w:rPr>
              <w:t>AA</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r w:rsidRPr="006552E9">
              <w:rPr>
                <w:rFonts w:cs="Arial"/>
                <w:sz w:val="20"/>
                <w:szCs w:val="20"/>
              </w:rPr>
              <w:t xml:space="preserve"> 7,500 </w:t>
            </w:r>
          </w:p>
        </w:tc>
        <w:tc>
          <w:tcPr>
            <w:tcW w:w="1127" w:type="dxa"/>
            <w:tcBorders>
              <w:top w:val="nil"/>
              <w:left w:val="nil"/>
              <w:bottom w:val="nil"/>
              <w:right w:val="nil"/>
            </w:tcBorders>
            <w:shd w:val="clear" w:color="auto" w:fill="auto"/>
            <w:noWrap/>
            <w:vAlign w:val="bottom"/>
            <w:hideMark/>
          </w:tcPr>
          <w:p w:rsidR="00472253" w:rsidRPr="006552E9" w:rsidRDefault="00C02722" w:rsidP="004840AE">
            <w:pPr>
              <w:spacing w:before="0"/>
              <w:jc w:val="right"/>
              <w:rPr>
                <w:rFonts w:cs="Arial"/>
                <w:sz w:val="20"/>
                <w:szCs w:val="20"/>
              </w:rPr>
            </w:pPr>
            <w:r>
              <w:rPr>
                <w:rFonts w:cs="Arial"/>
                <w:sz w:val="20"/>
                <w:szCs w:val="20"/>
              </w:rPr>
              <w:t xml:space="preserve"> </w:t>
            </w:r>
            <w:r w:rsidR="00877D63">
              <w:rPr>
                <w:rFonts w:cs="Arial"/>
                <w:sz w:val="20"/>
                <w:szCs w:val="20"/>
              </w:rPr>
              <w:t>–</w:t>
            </w:r>
            <w:r w:rsidR="00472253" w:rsidRPr="006552E9">
              <w:rPr>
                <w:rFonts w:cs="Arial"/>
                <w:sz w:val="20"/>
                <w:szCs w:val="20"/>
              </w:rPr>
              <w:t xml:space="preserve"> </w:t>
            </w: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sz w:val="20"/>
                <w:szCs w:val="20"/>
              </w:rPr>
              <w:t>Total cash and term deposits</w:t>
            </w:r>
          </w:p>
        </w:tc>
        <w:tc>
          <w:tcPr>
            <w:tcW w:w="1035"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 xml:space="preserve"> 15,145 </w:t>
            </w:r>
          </w:p>
        </w:tc>
        <w:tc>
          <w:tcPr>
            <w:tcW w:w="1127"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 xml:space="preserve"> 12,697 </w:t>
            </w: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b/>
                <w:bCs/>
                <w:sz w:val="20"/>
                <w:szCs w:val="20"/>
              </w:rPr>
              <w:t>Counterparties without credit ratings</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sz w:val="20"/>
                <w:szCs w:val="20"/>
              </w:rPr>
              <w:t>Debtors and other receivables</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472253">
            <w:pPr>
              <w:spacing w:before="0"/>
              <w:ind w:left="170"/>
              <w:jc w:val="left"/>
              <w:rPr>
                <w:rFonts w:cs="Arial"/>
                <w:sz w:val="20"/>
                <w:szCs w:val="20"/>
              </w:rPr>
            </w:pPr>
            <w:r w:rsidRPr="006552E9">
              <w:rPr>
                <w:rFonts w:cs="Arial"/>
                <w:sz w:val="20"/>
                <w:szCs w:val="20"/>
              </w:rPr>
              <w:t>Existing counterparty with no defaults in the past</w:t>
            </w:r>
          </w:p>
        </w:tc>
        <w:tc>
          <w:tcPr>
            <w:tcW w:w="1035"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r w:rsidRPr="006552E9">
              <w:rPr>
                <w:rFonts w:cs="Arial"/>
                <w:sz w:val="20"/>
                <w:szCs w:val="20"/>
              </w:rPr>
              <w:t xml:space="preserve"> 7,297 </w:t>
            </w:r>
          </w:p>
        </w:tc>
        <w:tc>
          <w:tcPr>
            <w:tcW w:w="1127" w:type="dxa"/>
            <w:tcBorders>
              <w:top w:val="nil"/>
              <w:left w:val="nil"/>
              <w:bottom w:val="nil"/>
              <w:right w:val="nil"/>
            </w:tcBorders>
            <w:shd w:val="clear" w:color="auto" w:fill="auto"/>
            <w:noWrap/>
            <w:vAlign w:val="bottom"/>
            <w:hideMark/>
          </w:tcPr>
          <w:p w:rsidR="00472253" w:rsidRPr="006552E9" w:rsidRDefault="00472253" w:rsidP="004840AE">
            <w:pPr>
              <w:spacing w:before="0"/>
              <w:jc w:val="right"/>
              <w:rPr>
                <w:rFonts w:cs="Arial"/>
                <w:sz w:val="20"/>
                <w:szCs w:val="20"/>
              </w:rPr>
            </w:pPr>
            <w:r w:rsidRPr="006552E9">
              <w:rPr>
                <w:rFonts w:cs="Arial"/>
                <w:sz w:val="20"/>
                <w:szCs w:val="20"/>
              </w:rPr>
              <w:t xml:space="preserve"> 7,009 </w:t>
            </w: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472253">
            <w:pPr>
              <w:spacing w:before="0"/>
              <w:ind w:left="170"/>
              <w:jc w:val="left"/>
              <w:rPr>
                <w:rFonts w:cs="Arial"/>
                <w:sz w:val="20"/>
                <w:szCs w:val="20"/>
              </w:rPr>
            </w:pPr>
            <w:r w:rsidRPr="006552E9">
              <w:rPr>
                <w:rFonts w:cs="Arial"/>
                <w:sz w:val="20"/>
                <w:szCs w:val="20"/>
              </w:rPr>
              <w:t>Existing counterparty with defaults in the past</w:t>
            </w:r>
          </w:p>
        </w:tc>
        <w:tc>
          <w:tcPr>
            <w:tcW w:w="1035" w:type="dxa"/>
            <w:tcBorders>
              <w:top w:val="nil"/>
              <w:left w:val="nil"/>
              <w:bottom w:val="nil"/>
              <w:right w:val="nil"/>
            </w:tcBorders>
            <w:shd w:val="clear" w:color="auto" w:fill="auto"/>
            <w:noWrap/>
            <w:vAlign w:val="bottom"/>
            <w:hideMark/>
          </w:tcPr>
          <w:p w:rsidR="00472253" w:rsidRPr="006552E9" w:rsidRDefault="00C02722" w:rsidP="004840AE">
            <w:pPr>
              <w:spacing w:before="0"/>
              <w:jc w:val="right"/>
              <w:rPr>
                <w:rFonts w:cs="Arial"/>
                <w:sz w:val="20"/>
                <w:szCs w:val="20"/>
              </w:rPr>
            </w:pPr>
            <w:r>
              <w:rPr>
                <w:rFonts w:cs="Arial"/>
                <w:sz w:val="20"/>
                <w:szCs w:val="20"/>
              </w:rPr>
              <w:t xml:space="preserve"> </w:t>
            </w:r>
            <w:r w:rsidR="00877D63">
              <w:rPr>
                <w:rFonts w:cs="Arial"/>
                <w:sz w:val="20"/>
                <w:szCs w:val="20"/>
              </w:rPr>
              <w:t>–</w:t>
            </w:r>
            <w:r w:rsidR="00472253" w:rsidRPr="006552E9">
              <w:rPr>
                <w:rFonts w:cs="Arial"/>
                <w:sz w:val="20"/>
                <w:szCs w:val="20"/>
              </w:rPr>
              <w:t xml:space="preserve"> </w:t>
            </w:r>
          </w:p>
        </w:tc>
        <w:tc>
          <w:tcPr>
            <w:tcW w:w="1127" w:type="dxa"/>
            <w:tcBorders>
              <w:top w:val="nil"/>
              <w:left w:val="nil"/>
              <w:bottom w:val="nil"/>
              <w:right w:val="nil"/>
            </w:tcBorders>
            <w:shd w:val="clear" w:color="auto" w:fill="auto"/>
            <w:noWrap/>
            <w:vAlign w:val="bottom"/>
            <w:hideMark/>
          </w:tcPr>
          <w:p w:rsidR="00472253" w:rsidRPr="006552E9" w:rsidRDefault="00C02722" w:rsidP="004840AE">
            <w:pPr>
              <w:spacing w:before="0"/>
              <w:jc w:val="right"/>
              <w:rPr>
                <w:rFonts w:cs="Arial"/>
                <w:sz w:val="20"/>
                <w:szCs w:val="20"/>
              </w:rPr>
            </w:pPr>
            <w:r>
              <w:rPr>
                <w:rFonts w:cs="Arial"/>
                <w:sz w:val="20"/>
                <w:szCs w:val="20"/>
              </w:rPr>
              <w:t xml:space="preserve"> </w:t>
            </w:r>
            <w:r w:rsidR="00877D63">
              <w:rPr>
                <w:rFonts w:cs="Arial"/>
                <w:sz w:val="20"/>
                <w:szCs w:val="20"/>
              </w:rPr>
              <w:t>–</w:t>
            </w:r>
            <w:r w:rsidR="00472253" w:rsidRPr="006552E9">
              <w:rPr>
                <w:rFonts w:cs="Arial"/>
                <w:sz w:val="20"/>
                <w:szCs w:val="20"/>
              </w:rPr>
              <w:t xml:space="preserve"> </w:t>
            </w:r>
          </w:p>
        </w:tc>
      </w:tr>
      <w:tr w:rsidR="00472253" w:rsidRPr="006552E9" w:rsidTr="00A00ED0">
        <w:trPr>
          <w:trHeight w:val="255"/>
        </w:trPr>
        <w:tc>
          <w:tcPr>
            <w:tcW w:w="7228" w:type="dxa"/>
            <w:tcBorders>
              <w:top w:val="nil"/>
              <w:left w:val="nil"/>
              <w:bottom w:val="nil"/>
              <w:right w:val="nil"/>
            </w:tcBorders>
            <w:shd w:val="clear" w:color="auto" w:fill="auto"/>
            <w:noWrap/>
            <w:vAlign w:val="bottom"/>
            <w:hideMark/>
          </w:tcPr>
          <w:p w:rsidR="00472253" w:rsidRPr="006552E9" w:rsidRDefault="00472253" w:rsidP="000F4BF7">
            <w:pPr>
              <w:spacing w:before="0"/>
              <w:jc w:val="left"/>
              <w:rPr>
                <w:rFonts w:cs="Arial"/>
                <w:sz w:val="20"/>
                <w:szCs w:val="20"/>
              </w:rPr>
            </w:pPr>
            <w:r w:rsidRPr="006552E9">
              <w:rPr>
                <w:rFonts w:cs="Arial"/>
                <w:sz w:val="20"/>
                <w:szCs w:val="20"/>
              </w:rPr>
              <w:t>Total debtors and other receivables</w:t>
            </w:r>
          </w:p>
        </w:tc>
        <w:tc>
          <w:tcPr>
            <w:tcW w:w="1035"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 xml:space="preserve"> 7,297 </w:t>
            </w:r>
          </w:p>
        </w:tc>
        <w:tc>
          <w:tcPr>
            <w:tcW w:w="1127" w:type="dxa"/>
            <w:tcBorders>
              <w:top w:val="single" w:sz="4" w:space="0" w:color="auto"/>
              <w:left w:val="nil"/>
              <w:bottom w:val="single" w:sz="4" w:space="0" w:color="auto"/>
              <w:right w:val="nil"/>
            </w:tcBorders>
            <w:shd w:val="clear" w:color="auto" w:fill="auto"/>
            <w:noWrap/>
            <w:vAlign w:val="bottom"/>
            <w:hideMark/>
          </w:tcPr>
          <w:p w:rsidR="00472253" w:rsidRPr="006552E9" w:rsidRDefault="00472253" w:rsidP="004840AE">
            <w:pPr>
              <w:spacing w:before="0"/>
              <w:jc w:val="right"/>
              <w:rPr>
                <w:rFonts w:cs="Arial"/>
                <w:b/>
                <w:bCs/>
                <w:sz w:val="20"/>
                <w:szCs w:val="20"/>
              </w:rPr>
            </w:pPr>
            <w:r w:rsidRPr="006552E9">
              <w:rPr>
                <w:rFonts w:cs="Arial"/>
                <w:b/>
                <w:bCs/>
                <w:sz w:val="20"/>
                <w:szCs w:val="20"/>
              </w:rPr>
              <w:t xml:space="preserve"> 7,009 </w:t>
            </w:r>
          </w:p>
        </w:tc>
      </w:tr>
    </w:tbl>
    <w:p w:rsidR="00D07AF2" w:rsidRPr="006552E9" w:rsidRDefault="000F4BF7" w:rsidP="000F4BF7">
      <w:pPr>
        <w:pStyle w:val="Heading4"/>
      </w:pPr>
      <w:r w:rsidRPr="006552E9">
        <w:t>27.4</w:t>
      </w:r>
      <w:r w:rsidRPr="006552E9">
        <w:tab/>
        <w:t>Liquidity risk</w:t>
      </w:r>
    </w:p>
    <w:p w:rsidR="000F4BF7" w:rsidRPr="006552E9" w:rsidRDefault="000F4BF7" w:rsidP="000F4BF7">
      <w:r w:rsidRPr="006552E9">
        <w:t>Liquidity risk is the risk that Creative New Zealand will encounter difficulty raising liquid funds to meet commitments as they fall due.</w:t>
      </w:r>
    </w:p>
    <w:p w:rsidR="000F4BF7" w:rsidRPr="006552E9" w:rsidRDefault="000F4BF7" w:rsidP="000F4BF7">
      <w:r w:rsidRPr="006552E9">
        <w:t>Creative New Zealand closely monitors its forecast cash requirements and maintains a target level of cash to meet liquidity requirements.</w:t>
      </w:r>
    </w:p>
    <w:p w:rsidR="000F4BF7" w:rsidRPr="006552E9" w:rsidRDefault="000F4BF7" w:rsidP="000F4BF7">
      <w:pPr>
        <w:keepNext/>
        <w:rPr>
          <w:i/>
        </w:rPr>
      </w:pPr>
      <w:r w:rsidRPr="006552E9">
        <w:rPr>
          <w:i/>
        </w:rPr>
        <w:t>Contractual maturity analysis</w:t>
      </w:r>
    </w:p>
    <w:p w:rsidR="000F4BF7" w:rsidRPr="006552E9" w:rsidRDefault="000F4BF7" w:rsidP="000F4BF7">
      <w:r w:rsidRPr="006552E9">
        <w:t xml:space="preserve">The table below analyses the contractual </w:t>
      </w:r>
      <w:r w:rsidR="008F45DE">
        <w:t>cash flow</w:t>
      </w:r>
      <w:r w:rsidRPr="006552E9">
        <w:t>s for all financial liabilities that will be settled based on the remaining period at the balance sheet date to the contractual maturity date.</w:t>
      </w:r>
    </w:p>
    <w:tbl>
      <w:tblPr>
        <w:tblW w:w="9087" w:type="dxa"/>
        <w:tblInd w:w="93" w:type="dxa"/>
        <w:tblLook w:val="04A0" w:firstRow="1" w:lastRow="0" w:firstColumn="1" w:lastColumn="0" w:noHBand="0" w:noVBand="1"/>
      </w:tblPr>
      <w:tblGrid>
        <w:gridCol w:w="1008"/>
        <w:gridCol w:w="3118"/>
        <w:gridCol w:w="1276"/>
        <w:gridCol w:w="1239"/>
        <w:gridCol w:w="1170"/>
        <w:gridCol w:w="1276"/>
      </w:tblGrid>
      <w:tr w:rsidR="00CC38E2" w:rsidRPr="006552E9" w:rsidTr="00CC38E2">
        <w:trPr>
          <w:trHeight w:val="525"/>
        </w:trPr>
        <w:tc>
          <w:tcPr>
            <w:tcW w:w="1008"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center"/>
              <w:rPr>
                <w:rFonts w:cs="Arial"/>
                <w:b/>
                <w:bCs/>
                <w:sz w:val="20"/>
                <w:szCs w:val="20"/>
              </w:rPr>
            </w:pPr>
            <w:r w:rsidRPr="006552E9">
              <w:rPr>
                <w:rFonts w:cs="Arial"/>
                <w:b/>
                <w:bCs/>
                <w:sz w:val="20"/>
                <w:szCs w:val="20"/>
              </w:rPr>
              <w:t>2013</w:t>
            </w:r>
          </w:p>
        </w:tc>
        <w:tc>
          <w:tcPr>
            <w:tcW w:w="3118"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(in $000)</w:t>
            </w:r>
          </w:p>
        </w:tc>
        <w:tc>
          <w:tcPr>
            <w:tcW w:w="1276" w:type="dxa"/>
            <w:tcBorders>
              <w:top w:val="nil"/>
              <w:left w:val="nil"/>
              <w:bottom w:val="single" w:sz="8" w:space="0" w:color="auto"/>
              <w:right w:val="nil"/>
            </w:tcBorders>
            <w:shd w:val="clear" w:color="auto" w:fill="auto"/>
            <w:vAlign w:val="bottom"/>
            <w:hideMark/>
          </w:tcPr>
          <w:p w:rsidR="00CC38E2" w:rsidRPr="006552E9" w:rsidRDefault="00CC38E2" w:rsidP="000F4BF7">
            <w:pPr>
              <w:spacing w:before="0"/>
              <w:jc w:val="right"/>
              <w:rPr>
                <w:rFonts w:cs="Arial"/>
                <w:sz w:val="20"/>
                <w:szCs w:val="20"/>
              </w:rPr>
            </w:pPr>
            <w:r w:rsidRPr="006552E9">
              <w:rPr>
                <w:rFonts w:cs="Arial"/>
                <w:sz w:val="20"/>
                <w:szCs w:val="20"/>
              </w:rPr>
              <w:t>Carrying amount</w:t>
            </w:r>
          </w:p>
        </w:tc>
        <w:tc>
          <w:tcPr>
            <w:tcW w:w="1239" w:type="dxa"/>
            <w:tcBorders>
              <w:top w:val="nil"/>
              <w:left w:val="nil"/>
              <w:bottom w:val="single" w:sz="8" w:space="0" w:color="auto"/>
              <w:right w:val="nil"/>
            </w:tcBorders>
            <w:shd w:val="clear" w:color="auto" w:fill="auto"/>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Contractual </w:t>
            </w:r>
            <w:r>
              <w:rPr>
                <w:rFonts w:cs="Arial"/>
                <w:sz w:val="20"/>
                <w:szCs w:val="20"/>
              </w:rPr>
              <w:t>cash flow</w:t>
            </w:r>
            <w:r w:rsidRPr="006552E9">
              <w:rPr>
                <w:rFonts w:cs="Arial"/>
                <w:sz w:val="20"/>
                <w:szCs w:val="20"/>
              </w:rPr>
              <w:t>s</w:t>
            </w:r>
          </w:p>
        </w:tc>
        <w:tc>
          <w:tcPr>
            <w:tcW w:w="1170" w:type="dxa"/>
            <w:tcBorders>
              <w:top w:val="nil"/>
              <w:left w:val="nil"/>
              <w:bottom w:val="single" w:sz="8" w:space="0" w:color="auto"/>
              <w:right w:val="nil"/>
            </w:tcBorders>
            <w:shd w:val="clear" w:color="auto" w:fill="auto"/>
            <w:vAlign w:val="bottom"/>
            <w:hideMark/>
          </w:tcPr>
          <w:p w:rsidR="00CC38E2" w:rsidRPr="006552E9" w:rsidRDefault="00CC38E2" w:rsidP="000F4BF7">
            <w:pPr>
              <w:spacing w:before="0"/>
              <w:jc w:val="right"/>
              <w:rPr>
                <w:rFonts w:cs="Arial"/>
                <w:sz w:val="20"/>
                <w:szCs w:val="20"/>
              </w:rPr>
            </w:pPr>
            <w:r w:rsidRPr="006552E9">
              <w:rPr>
                <w:rFonts w:cs="Arial"/>
                <w:sz w:val="20"/>
                <w:szCs w:val="20"/>
              </w:rPr>
              <w:t>&lt; 1 year</w:t>
            </w:r>
          </w:p>
        </w:tc>
        <w:tc>
          <w:tcPr>
            <w:tcW w:w="1276" w:type="dxa"/>
            <w:tcBorders>
              <w:top w:val="nil"/>
              <w:left w:val="nil"/>
              <w:bottom w:val="single" w:sz="8" w:space="0" w:color="auto"/>
              <w:right w:val="nil"/>
            </w:tcBorders>
            <w:shd w:val="clear" w:color="auto" w:fill="auto"/>
            <w:vAlign w:val="bottom"/>
            <w:hideMark/>
          </w:tcPr>
          <w:p w:rsidR="00CC38E2" w:rsidRPr="006552E9" w:rsidRDefault="00CC38E2" w:rsidP="00CC38E2">
            <w:pPr>
              <w:spacing w:before="0"/>
              <w:jc w:val="right"/>
              <w:rPr>
                <w:rFonts w:cs="Arial"/>
                <w:sz w:val="20"/>
                <w:szCs w:val="20"/>
              </w:rPr>
            </w:pPr>
            <w:r w:rsidRPr="006552E9">
              <w:rPr>
                <w:rFonts w:cs="Arial"/>
                <w:sz w:val="20"/>
                <w:szCs w:val="20"/>
              </w:rPr>
              <w:t xml:space="preserve">1 to </w:t>
            </w:r>
            <w:r>
              <w:rPr>
                <w:rFonts w:cs="Arial"/>
                <w:sz w:val="20"/>
                <w:szCs w:val="20"/>
              </w:rPr>
              <w:t>5</w:t>
            </w:r>
            <w:r w:rsidRPr="006552E9">
              <w:rPr>
                <w:rFonts w:cs="Arial"/>
                <w:sz w:val="20"/>
                <w:szCs w:val="20"/>
              </w:rPr>
              <w:t xml:space="preserve"> years</w:t>
            </w:r>
          </w:p>
        </w:tc>
      </w:tr>
      <w:tr w:rsidR="00CC38E2" w:rsidRPr="006552E9" w:rsidTr="00CC38E2">
        <w:trPr>
          <w:trHeight w:val="255"/>
        </w:trPr>
        <w:tc>
          <w:tcPr>
            <w:tcW w:w="4126" w:type="dxa"/>
            <w:gridSpan w:val="2"/>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Creditors and other payables</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1,449 </w:t>
            </w:r>
          </w:p>
        </w:tc>
        <w:tc>
          <w:tcPr>
            <w:tcW w:w="1239"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1,449 </w:t>
            </w:r>
          </w:p>
        </w:tc>
        <w:tc>
          <w:tcPr>
            <w:tcW w:w="1170"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1,449 </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r>
      <w:tr w:rsidR="00CC38E2" w:rsidRPr="006552E9" w:rsidTr="00CC38E2">
        <w:trPr>
          <w:trHeight w:val="255"/>
        </w:trPr>
        <w:tc>
          <w:tcPr>
            <w:tcW w:w="4126" w:type="dxa"/>
            <w:gridSpan w:val="2"/>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Grants payable</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13,239 </w:t>
            </w:r>
          </w:p>
        </w:tc>
        <w:tc>
          <w:tcPr>
            <w:tcW w:w="1239"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13,239 </w:t>
            </w:r>
          </w:p>
        </w:tc>
        <w:tc>
          <w:tcPr>
            <w:tcW w:w="1170"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13,239 </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r>
      <w:tr w:rsidR="00CC38E2" w:rsidRPr="006552E9" w:rsidTr="00CC38E2">
        <w:trPr>
          <w:trHeight w:val="255"/>
        </w:trPr>
        <w:tc>
          <w:tcPr>
            <w:tcW w:w="1008"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c>
          <w:tcPr>
            <w:tcW w:w="3118"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c>
          <w:tcPr>
            <w:tcW w:w="1239"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c>
          <w:tcPr>
            <w:tcW w:w="1170"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p>
        </w:tc>
      </w:tr>
      <w:tr w:rsidR="00CC38E2" w:rsidRPr="006552E9" w:rsidTr="00CC38E2">
        <w:trPr>
          <w:trHeight w:val="270"/>
        </w:trPr>
        <w:tc>
          <w:tcPr>
            <w:tcW w:w="1008"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center"/>
              <w:rPr>
                <w:rFonts w:cs="Arial"/>
                <w:b/>
                <w:bCs/>
                <w:sz w:val="20"/>
                <w:szCs w:val="20"/>
              </w:rPr>
            </w:pPr>
            <w:r w:rsidRPr="006552E9">
              <w:rPr>
                <w:rFonts w:cs="Arial"/>
                <w:b/>
                <w:bCs/>
                <w:sz w:val="20"/>
                <w:szCs w:val="20"/>
              </w:rPr>
              <w:t>2012</w:t>
            </w:r>
          </w:p>
        </w:tc>
        <w:tc>
          <w:tcPr>
            <w:tcW w:w="3118"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(in $000)</w:t>
            </w:r>
          </w:p>
        </w:tc>
        <w:tc>
          <w:tcPr>
            <w:tcW w:w="1276"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 </w:t>
            </w:r>
          </w:p>
        </w:tc>
        <w:tc>
          <w:tcPr>
            <w:tcW w:w="1239"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 </w:t>
            </w:r>
          </w:p>
        </w:tc>
        <w:tc>
          <w:tcPr>
            <w:tcW w:w="1170"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 </w:t>
            </w:r>
          </w:p>
        </w:tc>
        <w:tc>
          <w:tcPr>
            <w:tcW w:w="1276" w:type="dxa"/>
            <w:tcBorders>
              <w:top w:val="nil"/>
              <w:left w:val="nil"/>
              <w:bottom w:val="single" w:sz="8" w:space="0" w:color="auto"/>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 </w:t>
            </w:r>
          </w:p>
        </w:tc>
      </w:tr>
      <w:tr w:rsidR="00CC38E2" w:rsidRPr="006552E9" w:rsidTr="00CC38E2">
        <w:trPr>
          <w:trHeight w:val="255"/>
        </w:trPr>
        <w:tc>
          <w:tcPr>
            <w:tcW w:w="4126" w:type="dxa"/>
            <w:gridSpan w:val="2"/>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Creditors and other payables</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1,994 </w:t>
            </w:r>
          </w:p>
        </w:tc>
        <w:tc>
          <w:tcPr>
            <w:tcW w:w="1239"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1,994 </w:t>
            </w:r>
          </w:p>
        </w:tc>
        <w:tc>
          <w:tcPr>
            <w:tcW w:w="1170"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1,994 </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r>
      <w:tr w:rsidR="00CC38E2" w:rsidRPr="006552E9" w:rsidTr="00CC38E2">
        <w:trPr>
          <w:trHeight w:val="255"/>
        </w:trPr>
        <w:tc>
          <w:tcPr>
            <w:tcW w:w="4126" w:type="dxa"/>
            <w:gridSpan w:val="2"/>
            <w:tcBorders>
              <w:top w:val="nil"/>
              <w:left w:val="nil"/>
              <w:bottom w:val="nil"/>
              <w:right w:val="nil"/>
            </w:tcBorders>
            <w:shd w:val="clear" w:color="auto" w:fill="auto"/>
            <w:noWrap/>
            <w:vAlign w:val="bottom"/>
            <w:hideMark/>
          </w:tcPr>
          <w:p w:rsidR="00CC38E2" w:rsidRPr="006552E9" w:rsidRDefault="00CC38E2" w:rsidP="000F4BF7">
            <w:pPr>
              <w:spacing w:before="0"/>
              <w:jc w:val="left"/>
              <w:rPr>
                <w:rFonts w:cs="Arial"/>
                <w:sz w:val="20"/>
                <w:szCs w:val="20"/>
              </w:rPr>
            </w:pPr>
            <w:r w:rsidRPr="006552E9">
              <w:rPr>
                <w:rFonts w:cs="Arial"/>
                <w:sz w:val="20"/>
                <w:szCs w:val="20"/>
              </w:rPr>
              <w:t>Grants payable</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12,193 </w:t>
            </w:r>
          </w:p>
        </w:tc>
        <w:tc>
          <w:tcPr>
            <w:tcW w:w="1239"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12,193 </w:t>
            </w:r>
          </w:p>
        </w:tc>
        <w:tc>
          <w:tcPr>
            <w:tcW w:w="1170"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sidRPr="006552E9">
              <w:rPr>
                <w:rFonts w:cs="Arial"/>
                <w:sz w:val="20"/>
                <w:szCs w:val="20"/>
              </w:rPr>
              <w:t xml:space="preserve"> 12,193 </w:t>
            </w:r>
          </w:p>
        </w:tc>
        <w:tc>
          <w:tcPr>
            <w:tcW w:w="1276" w:type="dxa"/>
            <w:tcBorders>
              <w:top w:val="nil"/>
              <w:left w:val="nil"/>
              <w:bottom w:val="nil"/>
              <w:right w:val="nil"/>
            </w:tcBorders>
            <w:shd w:val="clear" w:color="auto" w:fill="auto"/>
            <w:noWrap/>
            <w:vAlign w:val="bottom"/>
            <w:hideMark/>
          </w:tcPr>
          <w:p w:rsidR="00CC38E2" w:rsidRPr="006552E9" w:rsidRDefault="00CC38E2" w:rsidP="000F4BF7">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r>
    </w:tbl>
    <w:p w:rsidR="0029526F" w:rsidRPr="006552E9" w:rsidRDefault="0029526F" w:rsidP="00E22C83">
      <w:pPr>
        <w:pStyle w:val="Style1"/>
      </w:pPr>
      <w:r w:rsidRPr="006552E9">
        <w:t>28.</w:t>
      </w:r>
      <w:r w:rsidRPr="006552E9">
        <w:tab/>
        <w:t>Capital management</w:t>
      </w:r>
    </w:p>
    <w:p w:rsidR="000F4BF7" w:rsidRPr="006552E9" w:rsidRDefault="000F4BF7" w:rsidP="000F4BF7">
      <w:r w:rsidRPr="006552E9">
        <w:t>Creative New Zealand’s capital is its equity, which comprises accumulated funds and revaluation reserves. Equity is represented by net assets.</w:t>
      </w:r>
    </w:p>
    <w:p w:rsidR="000F4BF7" w:rsidRPr="006552E9" w:rsidRDefault="000F4BF7" w:rsidP="000F4BF7">
      <w:r w:rsidRPr="006552E9">
        <w:t>Creative New Zealand is independent in deciding how to best use its capital for achieving its goals. However, Creative New Zealand is subject to the financial management and accountability provisions of the Crown Entities Act 2004, which impose restrictions in relation to borrowings, acquisition of securities, issuing guarantees and indemnities, and the use of derivatives.</w:t>
      </w:r>
    </w:p>
    <w:p w:rsidR="000F4BF7" w:rsidRPr="006552E9" w:rsidRDefault="000F4BF7" w:rsidP="000F4BF7">
      <w:r w:rsidRPr="006552E9">
        <w:t>Creative New Zealand manages its equity as a by-product of prudently managing revenues, expenses, assets, liabilities, investments and general financial dealings to ensure it effectively achieves its objectives and purpose, while remaining a going concern.</w:t>
      </w:r>
    </w:p>
    <w:p w:rsidR="000F4BF7" w:rsidRPr="006552E9" w:rsidRDefault="000F4BF7" w:rsidP="000F4BF7">
      <w:r w:rsidRPr="006552E9">
        <w:t xml:space="preserve">As a Crown entity, Creative New Zealand uses its capital to achieve its strategic and other goals. Creative New Zealand’s statutory purpose is to encourage, promote and support the arts in New Zealand for the benefit of all New Zealanders, including both community and professional arts (Arts Council of New Zealand Toi Aotearoa Act 1994). Details of this can be found in the Statement of Non-Financial Performance in this report. </w:t>
      </w:r>
    </w:p>
    <w:p w:rsidR="000F4BF7" w:rsidRPr="006552E9" w:rsidRDefault="000F4BF7" w:rsidP="000F4BF7">
      <w:r w:rsidRPr="006552E9">
        <w:t>The focus of capital management therefore includes the following aspects:</w:t>
      </w:r>
    </w:p>
    <w:p w:rsidR="000F4BF7" w:rsidRPr="006552E9" w:rsidRDefault="000F4BF7" w:rsidP="000F4BF7">
      <w:pPr>
        <w:pStyle w:val="Bullet"/>
      </w:pPr>
      <w:r w:rsidRPr="006552E9">
        <w:t xml:space="preserve">ensuring that Creative New Zealand’s activities are for the statutory purpose only </w:t>
      </w:r>
    </w:p>
    <w:p w:rsidR="000F4BF7" w:rsidRPr="006552E9" w:rsidRDefault="000F4BF7" w:rsidP="000F4BF7">
      <w:pPr>
        <w:pStyle w:val="Bullet"/>
      </w:pPr>
      <w:r w:rsidRPr="006552E9">
        <w:t xml:space="preserve">ensuring Creative New Zealand’s financial viability in terms of maintaining sufficient cash reserves and meeting minimum surplus and </w:t>
      </w:r>
      <w:r w:rsidR="008F45DE">
        <w:t>cash flow</w:t>
      </w:r>
      <w:r w:rsidRPr="006552E9">
        <w:t xml:space="preserve"> requirements.</w:t>
      </w:r>
    </w:p>
    <w:p w:rsidR="0029526F" w:rsidRPr="006552E9" w:rsidRDefault="0029526F" w:rsidP="00E22C83">
      <w:pPr>
        <w:pStyle w:val="Style1"/>
      </w:pPr>
      <w:r w:rsidRPr="006552E9">
        <w:t>29.</w:t>
      </w:r>
      <w:r w:rsidRPr="006552E9">
        <w:tab/>
        <w:t>Significant budget variances</w:t>
      </w:r>
    </w:p>
    <w:p w:rsidR="000F4BF7" w:rsidRPr="006552E9" w:rsidRDefault="000F4BF7" w:rsidP="000F4BF7">
      <w:r w:rsidRPr="006552E9">
        <w:t xml:space="preserve">Creative New Zealand's budget figures are derived from the </w:t>
      </w:r>
      <w:r w:rsidR="00AD2240">
        <w:t>SOI</w:t>
      </w:r>
      <w:r w:rsidRPr="006552E9">
        <w:t xml:space="preserve"> 2012</w:t>
      </w:r>
      <w:r w:rsidR="00877D63">
        <w:t xml:space="preserve"> –</w:t>
      </w:r>
      <w:r w:rsidRPr="006552E9">
        <w:t xml:space="preserve">15 published in June 2012. </w:t>
      </w:r>
    </w:p>
    <w:p w:rsidR="000F4BF7" w:rsidRPr="006552E9" w:rsidRDefault="000F4BF7" w:rsidP="000F4BF7">
      <w:r w:rsidRPr="006552E9">
        <w:t>These forecast figures are based on a number of assumptions which are causing variances be</w:t>
      </w:r>
      <w:r w:rsidR="00A72BA6">
        <w:t>tween budget and actual figures.</w:t>
      </w:r>
    </w:p>
    <w:p w:rsidR="000F4BF7" w:rsidRPr="006552E9" w:rsidRDefault="000F4BF7" w:rsidP="006448C2">
      <w:pPr>
        <w:pStyle w:val="Bullet"/>
      </w:pPr>
      <w:r w:rsidRPr="006552E9">
        <w:t xml:space="preserve">The level of funding received from the New Zealand Lottery Grants Board had been estimated based on projected income for the 2013 financial year, as the actual funding was not confirmed until July 2012. </w:t>
      </w:r>
    </w:p>
    <w:p w:rsidR="000F4BF7" w:rsidRPr="006552E9" w:rsidRDefault="000F4BF7" w:rsidP="006448C2">
      <w:pPr>
        <w:pStyle w:val="Bullet"/>
      </w:pPr>
      <w:r w:rsidRPr="006552E9">
        <w:t>The level of funding provided to the sector was based on historical data, existing business practices or actual business plan projections, and is dependent on the level of funding received.</w:t>
      </w:r>
    </w:p>
    <w:p w:rsidR="000F4BF7" w:rsidRPr="006552E9" w:rsidRDefault="000F4BF7" w:rsidP="006448C2">
      <w:pPr>
        <w:pStyle w:val="Bullet"/>
      </w:pPr>
      <w:r w:rsidRPr="006552E9">
        <w:t>No attempt was made to estimate the impact of the Old Public Trust Building and the works of art annual revaluations.</w:t>
      </w:r>
    </w:p>
    <w:p w:rsidR="000F4BF7" w:rsidRPr="006552E9" w:rsidRDefault="000F4BF7" w:rsidP="000F4BF7">
      <w:r w:rsidRPr="006552E9">
        <w:t>Explanations for maj</w:t>
      </w:r>
      <w:r w:rsidR="002C6C3F">
        <w:t>or variances are outlined below.</w:t>
      </w:r>
    </w:p>
    <w:p w:rsidR="0029526F" w:rsidRPr="006552E9" w:rsidRDefault="000F4BF7" w:rsidP="000F4BF7">
      <w:pPr>
        <w:pStyle w:val="Heading4"/>
      </w:pPr>
      <w:r w:rsidRPr="006552E9">
        <w:t>29.1</w:t>
      </w:r>
      <w:r w:rsidRPr="006552E9">
        <w:tab/>
        <w:t>Statement of financial performance</w:t>
      </w:r>
    </w:p>
    <w:p w:rsidR="000F4BF7" w:rsidRPr="006552E9" w:rsidRDefault="00A72BA6" w:rsidP="00804968">
      <w:r>
        <w:t xml:space="preserve">The </w:t>
      </w:r>
      <w:r w:rsidRPr="006552E9">
        <w:t xml:space="preserve">net </w:t>
      </w:r>
      <w:r w:rsidR="000F4BF7" w:rsidRPr="006552E9">
        <w:t>operating surplus was greater than budgeted by $4.103 million mainly due to higher than budgeted income as follows:</w:t>
      </w:r>
    </w:p>
    <w:p w:rsidR="000F4BF7" w:rsidRPr="006552E9" w:rsidRDefault="000F4BF7" w:rsidP="006448C2">
      <w:pPr>
        <w:pStyle w:val="Bullet"/>
      </w:pPr>
      <w:r w:rsidRPr="006552E9">
        <w:t xml:space="preserve">Revenue from </w:t>
      </w:r>
      <w:r w:rsidR="00A72BA6">
        <w:t xml:space="preserve">the </w:t>
      </w:r>
      <w:r w:rsidRPr="006552E9">
        <w:t>New Zealand Lottery Grants Board was greater than budgeted by $3.319 million due to the way New Zealand Lottery Grants Board funding is calculated and allocated to Creative New Zealand, as disclosed in note 3.</w:t>
      </w:r>
    </w:p>
    <w:p w:rsidR="000F4BF7" w:rsidRPr="006552E9" w:rsidRDefault="000F4BF7" w:rsidP="006448C2">
      <w:pPr>
        <w:pStyle w:val="Bullet"/>
      </w:pPr>
      <w:r w:rsidRPr="006552E9">
        <w:t>Other income was greater than budgeted mainly due to the receipt of contributions for the Venice Biennale 2013 and the Festival of Pacific Arts 2012, as disclosed in note 5.</w:t>
      </w:r>
    </w:p>
    <w:p w:rsidR="000F4BF7" w:rsidRPr="006552E9" w:rsidRDefault="000F4BF7" w:rsidP="000F4BF7">
      <w:pPr>
        <w:pStyle w:val="Heading4"/>
      </w:pPr>
      <w:r w:rsidRPr="006552E9">
        <w:t>29.2</w:t>
      </w:r>
      <w:r w:rsidRPr="006552E9">
        <w:tab/>
        <w:t>Statement of financial position</w:t>
      </w:r>
    </w:p>
    <w:p w:rsidR="000F4BF7" w:rsidRPr="006552E9" w:rsidRDefault="000F4BF7" w:rsidP="002C6C3F">
      <w:pPr>
        <w:pStyle w:val="Bullet"/>
        <w:numPr>
          <w:ilvl w:val="0"/>
          <w:numId w:val="0"/>
        </w:numPr>
      </w:pPr>
      <w:r w:rsidRPr="006552E9">
        <w:t>The net increase in total cash and investments balance by $3.785 million is due to higher than budgeted income received.</w:t>
      </w:r>
    </w:p>
    <w:p w:rsidR="000F4BF7" w:rsidRPr="006552E9" w:rsidRDefault="000F4BF7" w:rsidP="002C6C3F">
      <w:pPr>
        <w:pStyle w:val="Bullet"/>
        <w:numPr>
          <w:ilvl w:val="0"/>
          <w:numId w:val="0"/>
        </w:numPr>
      </w:pPr>
      <w:r w:rsidRPr="006552E9">
        <w:t>The movements in the non-current assets balances mainly reflect the impact of the valuations.</w:t>
      </w:r>
    </w:p>
    <w:p w:rsidR="000F4BF7" w:rsidRPr="006552E9" w:rsidRDefault="000F4BF7" w:rsidP="002C6C3F">
      <w:pPr>
        <w:pStyle w:val="Bullet"/>
        <w:numPr>
          <w:ilvl w:val="0"/>
          <w:numId w:val="0"/>
        </w:numPr>
      </w:pPr>
      <w:r w:rsidRPr="006552E9">
        <w:t>A decrease in the revaluation reserve reflects the land and building and works of art valuations as at 30 June 2012 and 2013</w:t>
      </w:r>
      <w:r w:rsidR="00A72BA6">
        <w:t>,</w:t>
      </w:r>
      <w:r w:rsidRPr="006552E9">
        <w:t xml:space="preserve"> which reflect the market conditions as well as gifting of a work of art to the Museum of New Zealand Te Papa Tongarewa. Further details are disclosed in the note 21.</w:t>
      </w:r>
    </w:p>
    <w:p w:rsidR="000F4BF7" w:rsidRPr="006552E9" w:rsidRDefault="000F4BF7" w:rsidP="000F4BF7">
      <w:pPr>
        <w:pStyle w:val="Heading4"/>
      </w:pPr>
      <w:r w:rsidRPr="006552E9">
        <w:t>29.3</w:t>
      </w:r>
      <w:r w:rsidRPr="006552E9">
        <w:tab/>
        <w:t xml:space="preserve">Statement of </w:t>
      </w:r>
      <w:r w:rsidR="008F45DE">
        <w:t>cash flow</w:t>
      </w:r>
      <w:r w:rsidRPr="006552E9">
        <w:t>s</w:t>
      </w:r>
    </w:p>
    <w:p w:rsidR="000F4BF7" w:rsidRPr="006552E9" w:rsidRDefault="000F4BF7" w:rsidP="002C6C3F">
      <w:pPr>
        <w:pStyle w:val="Bullet"/>
        <w:numPr>
          <w:ilvl w:val="0"/>
          <w:numId w:val="0"/>
        </w:numPr>
      </w:pPr>
      <w:r w:rsidRPr="006552E9">
        <w:t xml:space="preserve">The statement of </w:t>
      </w:r>
      <w:r w:rsidR="008F45DE">
        <w:t>cash flow</w:t>
      </w:r>
      <w:r w:rsidRPr="006552E9">
        <w:t>s reflects the movements in the statement of financial performance and the statement of financial position, as outlined above.</w:t>
      </w:r>
    </w:p>
    <w:p w:rsidR="0029526F" w:rsidRPr="006552E9" w:rsidRDefault="0029526F" w:rsidP="00E22C83">
      <w:pPr>
        <w:pStyle w:val="Style1"/>
      </w:pPr>
      <w:r w:rsidRPr="006552E9">
        <w:t>30.</w:t>
      </w:r>
      <w:r w:rsidRPr="006552E9">
        <w:tab/>
        <w:t>Event</w:t>
      </w:r>
      <w:r w:rsidR="00913826" w:rsidRPr="006552E9">
        <w:t>s</w:t>
      </w:r>
      <w:r w:rsidRPr="006552E9">
        <w:t xml:space="preserve"> subsequent to balance date</w:t>
      </w:r>
    </w:p>
    <w:p w:rsidR="000F4BF7" w:rsidRPr="006552E9" w:rsidRDefault="000F4BF7" w:rsidP="000F4BF7">
      <w:r w:rsidRPr="006552E9">
        <w:t xml:space="preserve">After the 21 July 2013 earthquake in Wellington, the Old Public Trust Building </w:t>
      </w:r>
      <w:r w:rsidR="00A72BA6">
        <w:t>was</w:t>
      </w:r>
      <w:r w:rsidRPr="006552E9">
        <w:t xml:space="preserve"> vacated by all tenants. </w:t>
      </w:r>
    </w:p>
    <w:p w:rsidR="000F4BF7" w:rsidRPr="006552E9" w:rsidRDefault="000F4BF7" w:rsidP="000F4BF7">
      <w:r w:rsidRPr="006552E9">
        <w:t>Creative New Zealand owns a 60</w:t>
      </w:r>
      <w:r w:rsidR="0016706E">
        <w:t xml:space="preserve"> percent</w:t>
      </w:r>
      <w:r w:rsidRPr="006552E9">
        <w:t xml:space="preserve"> share in the Old Public Trust Building, with ground floor of the building being leased to a third party and classified as </w:t>
      </w:r>
      <w:r w:rsidR="00192948" w:rsidRPr="006552E9">
        <w:t xml:space="preserve">investment property </w:t>
      </w:r>
      <w:r w:rsidRPr="006552E9">
        <w:t>(note 16).</w:t>
      </w:r>
    </w:p>
    <w:p w:rsidR="000F4BF7" w:rsidRPr="006552E9" w:rsidRDefault="000F4BF7" w:rsidP="000F4BF7">
      <w:r w:rsidRPr="006552E9">
        <w:t xml:space="preserve">After the earthquake, </w:t>
      </w:r>
      <w:r w:rsidR="00A72BA6" w:rsidRPr="006552E9">
        <w:t xml:space="preserve">the investment property </w:t>
      </w:r>
      <w:r w:rsidRPr="006552E9">
        <w:t xml:space="preserve">has been withdrawn from use and no future economic benefits are expected from </w:t>
      </w:r>
      <w:r w:rsidR="00535D5D">
        <w:t>rental income</w:t>
      </w:r>
      <w:r w:rsidRPr="006552E9">
        <w:t xml:space="preserve"> for the foreseeable</w:t>
      </w:r>
      <w:r w:rsidR="00535D5D">
        <w:t xml:space="preserve"> future</w:t>
      </w:r>
      <w:r w:rsidRPr="006552E9">
        <w:t>.</w:t>
      </w:r>
    </w:p>
    <w:p w:rsidR="000F4BF7" w:rsidRPr="006552E9" w:rsidRDefault="000F4BF7" w:rsidP="000F4BF7">
      <w:r w:rsidRPr="006552E9">
        <w:t xml:space="preserve">A revised valuation of the land and building was completed by Wayne Nyberg, the registered valuer with Darroch Limited, as at 22 August 2013, taking into consideration the changes in the market conditions post the 21 July 2013 earthquake. </w:t>
      </w:r>
      <w:r w:rsidR="00192948">
        <w:t xml:space="preserve">This was completed to </w:t>
      </w:r>
      <w:r w:rsidR="00A72BA6">
        <w:t>help</w:t>
      </w:r>
      <w:r w:rsidR="00192948">
        <w:t xml:space="preserve"> the Arts Council in making decisions about the building.</w:t>
      </w:r>
    </w:p>
    <w:p w:rsidR="000F4BF7" w:rsidRPr="006552E9" w:rsidRDefault="000F4BF7" w:rsidP="00192948">
      <w:pPr>
        <w:keepNext/>
      </w:pPr>
      <w:r w:rsidRPr="006552E9">
        <w:t>The fair value has been determined as follows:</w:t>
      </w:r>
    </w:p>
    <w:tbl>
      <w:tblPr>
        <w:tblW w:w="9194" w:type="dxa"/>
        <w:tblInd w:w="93" w:type="dxa"/>
        <w:tblLook w:val="04A0" w:firstRow="1" w:lastRow="0" w:firstColumn="1" w:lastColumn="0" w:noHBand="0" w:noVBand="1"/>
      </w:tblPr>
      <w:tblGrid>
        <w:gridCol w:w="6700"/>
        <w:gridCol w:w="1220"/>
        <w:gridCol w:w="1274"/>
      </w:tblGrid>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192948">
            <w:pPr>
              <w:keepNext/>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6448C2" w:rsidRPr="006552E9" w:rsidRDefault="00192948" w:rsidP="00192948">
            <w:pPr>
              <w:keepNext/>
              <w:spacing w:before="0"/>
              <w:jc w:val="right"/>
              <w:rPr>
                <w:rFonts w:cs="Arial"/>
                <w:b/>
                <w:bCs/>
                <w:sz w:val="20"/>
                <w:szCs w:val="20"/>
              </w:rPr>
            </w:pPr>
            <w:r>
              <w:rPr>
                <w:rFonts w:cs="Arial"/>
                <w:b/>
                <w:bCs/>
                <w:sz w:val="20"/>
                <w:szCs w:val="20"/>
              </w:rPr>
              <w:t>22 August</w:t>
            </w:r>
          </w:p>
        </w:tc>
        <w:tc>
          <w:tcPr>
            <w:tcW w:w="1274" w:type="dxa"/>
            <w:tcBorders>
              <w:top w:val="nil"/>
              <w:left w:val="nil"/>
              <w:bottom w:val="nil"/>
              <w:right w:val="nil"/>
            </w:tcBorders>
            <w:shd w:val="clear" w:color="auto" w:fill="auto"/>
            <w:noWrap/>
            <w:vAlign w:val="bottom"/>
            <w:hideMark/>
          </w:tcPr>
          <w:p w:rsidR="006448C2" w:rsidRPr="006552E9" w:rsidRDefault="00192948" w:rsidP="00192948">
            <w:pPr>
              <w:keepNext/>
              <w:spacing w:before="0"/>
              <w:jc w:val="right"/>
              <w:rPr>
                <w:rFonts w:cs="Arial"/>
                <w:b/>
                <w:bCs/>
                <w:sz w:val="20"/>
                <w:szCs w:val="20"/>
              </w:rPr>
            </w:pPr>
            <w:r w:rsidRPr="006552E9">
              <w:rPr>
                <w:rFonts w:cs="Arial"/>
                <w:b/>
                <w:bCs/>
                <w:sz w:val="20"/>
                <w:szCs w:val="20"/>
              </w:rPr>
              <w:t>30 June</w:t>
            </w:r>
          </w:p>
        </w:tc>
      </w:tr>
      <w:tr w:rsidR="006448C2" w:rsidRPr="006552E9" w:rsidTr="006448C2">
        <w:trPr>
          <w:trHeight w:val="255"/>
        </w:trPr>
        <w:tc>
          <w:tcPr>
            <w:tcW w:w="6700" w:type="dxa"/>
            <w:tcBorders>
              <w:top w:val="nil"/>
              <w:left w:val="nil"/>
              <w:right w:val="nil"/>
            </w:tcBorders>
            <w:shd w:val="clear" w:color="auto" w:fill="auto"/>
            <w:noWrap/>
            <w:vAlign w:val="bottom"/>
            <w:hideMark/>
          </w:tcPr>
          <w:p w:rsidR="006448C2" w:rsidRPr="006552E9" w:rsidRDefault="006448C2" w:rsidP="000F4BF7">
            <w:pPr>
              <w:spacing w:before="0"/>
              <w:jc w:val="left"/>
              <w:rPr>
                <w:rFonts w:cs="Arial"/>
                <w:sz w:val="20"/>
                <w:szCs w:val="20"/>
              </w:rPr>
            </w:pPr>
          </w:p>
        </w:tc>
        <w:tc>
          <w:tcPr>
            <w:tcW w:w="1220" w:type="dxa"/>
            <w:tcBorders>
              <w:top w:val="nil"/>
              <w:left w:val="nil"/>
              <w:right w:val="nil"/>
            </w:tcBorders>
            <w:shd w:val="clear" w:color="auto" w:fill="auto"/>
            <w:noWrap/>
            <w:vAlign w:val="bottom"/>
            <w:hideMark/>
          </w:tcPr>
          <w:p w:rsidR="006448C2" w:rsidRPr="006552E9" w:rsidRDefault="006448C2" w:rsidP="000F4BF7">
            <w:pPr>
              <w:spacing w:before="0"/>
              <w:jc w:val="right"/>
              <w:rPr>
                <w:rFonts w:cs="Arial"/>
                <w:b/>
                <w:bCs/>
                <w:sz w:val="20"/>
                <w:szCs w:val="20"/>
              </w:rPr>
            </w:pPr>
            <w:r w:rsidRPr="006552E9">
              <w:rPr>
                <w:rFonts w:cs="Arial"/>
                <w:b/>
                <w:bCs/>
                <w:sz w:val="20"/>
                <w:szCs w:val="20"/>
              </w:rPr>
              <w:t>2013</w:t>
            </w:r>
          </w:p>
        </w:tc>
        <w:tc>
          <w:tcPr>
            <w:tcW w:w="1274" w:type="dxa"/>
            <w:tcBorders>
              <w:top w:val="nil"/>
              <w:left w:val="nil"/>
              <w:right w:val="nil"/>
            </w:tcBorders>
            <w:shd w:val="clear" w:color="auto" w:fill="auto"/>
            <w:noWrap/>
            <w:vAlign w:val="bottom"/>
            <w:hideMark/>
          </w:tcPr>
          <w:p w:rsidR="006448C2" w:rsidRPr="006552E9" w:rsidRDefault="006448C2" w:rsidP="000F4BF7">
            <w:pPr>
              <w:spacing w:before="0"/>
              <w:jc w:val="right"/>
              <w:rPr>
                <w:rFonts w:cs="Arial"/>
                <w:b/>
                <w:bCs/>
                <w:sz w:val="20"/>
                <w:szCs w:val="20"/>
              </w:rPr>
            </w:pPr>
            <w:r w:rsidRPr="006552E9">
              <w:rPr>
                <w:rFonts w:cs="Arial"/>
                <w:b/>
                <w:bCs/>
                <w:sz w:val="20"/>
                <w:szCs w:val="20"/>
              </w:rPr>
              <w:t>2013</w:t>
            </w:r>
          </w:p>
        </w:tc>
      </w:tr>
      <w:tr w:rsidR="006448C2" w:rsidRPr="006552E9" w:rsidTr="006448C2">
        <w:trPr>
          <w:trHeight w:val="255"/>
        </w:trPr>
        <w:tc>
          <w:tcPr>
            <w:tcW w:w="6700" w:type="dxa"/>
            <w:tcBorders>
              <w:top w:val="nil"/>
              <w:left w:val="nil"/>
              <w:bottom w:val="single" w:sz="4" w:space="0" w:color="auto"/>
              <w:right w:val="nil"/>
            </w:tcBorders>
            <w:shd w:val="clear" w:color="auto" w:fill="auto"/>
            <w:noWrap/>
            <w:vAlign w:val="bottom"/>
            <w:hideMark/>
          </w:tcPr>
          <w:p w:rsidR="006448C2" w:rsidRPr="006552E9" w:rsidRDefault="006448C2" w:rsidP="000F4BF7">
            <w:pPr>
              <w:spacing w:before="0"/>
              <w:jc w:val="left"/>
              <w:rPr>
                <w:rFonts w:cs="Arial"/>
                <w:sz w:val="20"/>
                <w:szCs w:val="20"/>
              </w:rPr>
            </w:pPr>
          </w:p>
        </w:tc>
        <w:tc>
          <w:tcPr>
            <w:tcW w:w="1220" w:type="dxa"/>
            <w:tcBorders>
              <w:top w:val="nil"/>
              <w:left w:val="nil"/>
              <w:bottom w:val="single" w:sz="4" w:space="0" w:color="auto"/>
              <w:right w:val="nil"/>
            </w:tcBorders>
            <w:shd w:val="clear" w:color="auto" w:fill="auto"/>
            <w:noWrap/>
            <w:vAlign w:val="bottom"/>
            <w:hideMark/>
          </w:tcPr>
          <w:p w:rsidR="006448C2" w:rsidRPr="006552E9" w:rsidRDefault="006448C2" w:rsidP="000F4BF7">
            <w:pPr>
              <w:spacing w:before="0"/>
              <w:jc w:val="right"/>
              <w:rPr>
                <w:rFonts w:cs="Arial"/>
                <w:b/>
                <w:bCs/>
                <w:sz w:val="20"/>
                <w:szCs w:val="20"/>
              </w:rPr>
            </w:pPr>
            <w:r w:rsidRPr="006552E9">
              <w:rPr>
                <w:rFonts w:cs="Arial"/>
                <w:b/>
                <w:bCs/>
                <w:sz w:val="20"/>
                <w:szCs w:val="20"/>
              </w:rPr>
              <w:t xml:space="preserve"> $000 </w:t>
            </w:r>
          </w:p>
        </w:tc>
        <w:tc>
          <w:tcPr>
            <w:tcW w:w="1274" w:type="dxa"/>
            <w:tcBorders>
              <w:top w:val="nil"/>
              <w:left w:val="nil"/>
              <w:bottom w:val="single" w:sz="4" w:space="0" w:color="auto"/>
              <w:right w:val="nil"/>
            </w:tcBorders>
            <w:shd w:val="clear" w:color="auto" w:fill="auto"/>
            <w:noWrap/>
            <w:vAlign w:val="bottom"/>
            <w:hideMark/>
          </w:tcPr>
          <w:p w:rsidR="006448C2" w:rsidRPr="006552E9" w:rsidRDefault="006448C2" w:rsidP="000F4BF7">
            <w:pPr>
              <w:spacing w:before="0"/>
              <w:jc w:val="right"/>
              <w:rPr>
                <w:rFonts w:cs="Arial"/>
                <w:b/>
                <w:bCs/>
                <w:sz w:val="20"/>
                <w:szCs w:val="20"/>
              </w:rPr>
            </w:pPr>
            <w:r w:rsidRPr="006552E9">
              <w:rPr>
                <w:rFonts w:cs="Arial"/>
                <w:b/>
                <w:bCs/>
                <w:sz w:val="20"/>
                <w:szCs w:val="20"/>
              </w:rPr>
              <w:t xml:space="preserve"> $000 </w:t>
            </w:r>
          </w:p>
        </w:tc>
      </w:tr>
      <w:tr w:rsidR="006448C2" w:rsidRPr="006552E9" w:rsidTr="006448C2">
        <w:trPr>
          <w:trHeight w:val="255"/>
        </w:trPr>
        <w:tc>
          <w:tcPr>
            <w:tcW w:w="6700" w:type="dxa"/>
            <w:tcBorders>
              <w:top w:val="single" w:sz="4" w:space="0" w:color="auto"/>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r w:rsidRPr="006552E9">
              <w:rPr>
                <w:rFonts w:cs="Arial"/>
                <w:sz w:val="20"/>
                <w:szCs w:val="20"/>
              </w:rPr>
              <w:t>Fair value of the Old Public Trust Building and associated land</w:t>
            </w:r>
          </w:p>
        </w:tc>
        <w:tc>
          <w:tcPr>
            <w:tcW w:w="1220" w:type="dxa"/>
            <w:tcBorders>
              <w:top w:val="single" w:sz="4" w:space="0" w:color="auto"/>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w:t>
            </w:r>
            <w:r w:rsidR="00192948">
              <w:rPr>
                <w:rFonts w:cs="Arial"/>
                <w:sz w:val="20"/>
                <w:szCs w:val="20"/>
              </w:rPr>
              <w:t>2,050</w:t>
            </w:r>
            <w:r w:rsidRPr="006552E9">
              <w:rPr>
                <w:rFonts w:cs="Arial"/>
                <w:sz w:val="20"/>
                <w:szCs w:val="20"/>
              </w:rPr>
              <w:t xml:space="preserve"> </w:t>
            </w:r>
          </w:p>
        </w:tc>
        <w:tc>
          <w:tcPr>
            <w:tcW w:w="1274" w:type="dxa"/>
            <w:tcBorders>
              <w:top w:val="single" w:sz="4" w:space="0" w:color="auto"/>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2,</w:t>
            </w:r>
            <w:r w:rsidR="00192948">
              <w:rPr>
                <w:rFonts w:cs="Arial"/>
                <w:sz w:val="20"/>
                <w:szCs w:val="20"/>
              </w:rPr>
              <w:t>2</w:t>
            </w:r>
            <w:r w:rsidRPr="006552E9">
              <w:rPr>
                <w:rFonts w:cs="Arial"/>
                <w:sz w:val="20"/>
                <w:szCs w:val="20"/>
              </w:rPr>
              <w:t xml:space="preserve">50 </w:t>
            </w:r>
          </w:p>
        </w:tc>
      </w:tr>
      <w:tr w:rsidR="006448C2" w:rsidRPr="006552E9" w:rsidTr="006448C2">
        <w:trPr>
          <w:trHeight w:val="255"/>
        </w:trPr>
        <w:tc>
          <w:tcPr>
            <w:tcW w:w="6700" w:type="dxa"/>
            <w:tcBorders>
              <w:top w:val="nil"/>
              <w:left w:val="nil"/>
              <w:bottom w:val="nil"/>
              <w:right w:val="nil"/>
            </w:tcBorders>
            <w:shd w:val="clear" w:color="auto" w:fill="auto"/>
            <w:vAlign w:val="bottom"/>
            <w:hideMark/>
          </w:tcPr>
          <w:p w:rsidR="006448C2" w:rsidRPr="006552E9" w:rsidRDefault="006448C2" w:rsidP="000F4BF7">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p>
        </w:tc>
        <w:tc>
          <w:tcPr>
            <w:tcW w:w="1274"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p>
        </w:tc>
      </w:tr>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r w:rsidRPr="006552E9">
              <w:rPr>
                <w:rFonts w:cs="Arial"/>
                <w:sz w:val="20"/>
                <w:szCs w:val="20"/>
              </w:rPr>
              <w:t>Apportioned as follows:</w:t>
            </w:r>
          </w:p>
        </w:tc>
        <w:tc>
          <w:tcPr>
            <w:tcW w:w="1220"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p>
        </w:tc>
        <w:tc>
          <w:tcPr>
            <w:tcW w:w="1274"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p>
        </w:tc>
      </w:tr>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r w:rsidRPr="006552E9">
              <w:rPr>
                <w:rFonts w:cs="Arial"/>
                <w:sz w:val="20"/>
                <w:szCs w:val="20"/>
              </w:rPr>
              <w:t>Land (note 14)</w:t>
            </w:r>
          </w:p>
        </w:tc>
        <w:tc>
          <w:tcPr>
            <w:tcW w:w="1220"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1,</w:t>
            </w:r>
            <w:r w:rsidR="00192948">
              <w:rPr>
                <w:rFonts w:cs="Arial"/>
                <w:sz w:val="20"/>
                <w:szCs w:val="20"/>
              </w:rPr>
              <w:t>400</w:t>
            </w:r>
          </w:p>
        </w:tc>
        <w:tc>
          <w:tcPr>
            <w:tcW w:w="1274"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1,</w:t>
            </w:r>
            <w:r w:rsidR="00192948">
              <w:rPr>
                <w:rFonts w:cs="Arial"/>
                <w:sz w:val="20"/>
                <w:szCs w:val="20"/>
              </w:rPr>
              <w:t>164</w:t>
            </w:r>
            <w:r w:rsidRPr="006552E9">
              <w:rPr>
                <w:rFonts w:cs="Arial"/>
                <w:sz w:val="20"/>
                <w:szCs w:val="20"/>
              </w:rPr>
              <w:t xml:space="preserve"> </w:t>
            </w:r>
          </w:p>
        </w:tc>
      </w:tr>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r w:rsidRPr="006552E9">
              <w:rPr>
                <w:rFonts w:cs="Arial"/>
                <w:sz w:val="20"/>
                <w:szCs w:val="20"/>
              </w:rPr>
              <w:t>Building (note 14)</w:t>
            </w:r>
          </w:p>
        </w:tc>
        <w:tc>
          <w:tcPr>
            <w:tcW w:w="1220" w:type="dxa"/>
            <w:tcBorders>
              <w:top w:val="nil"/>
              <w:left w:val="nil"/>
              <w:bottom w:val="single" w:sz="4" w:space="0" w:color="auto"/>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w:t>
            </w:r>
            <w:r w:rsidR="00192948">
              <w:rPr>
                <w:rFonts w:cs="Arial"/>
                <w:sz w:val="20"/>
                <w:szCs w:val="20"/>
              </w:rPr>
              <w:t>650</w:t>
            </w:r>
            <w:r w:rsidRPr="006552E9">
              <w:rPr>
                <w:rFonts w:cs="Arial"/>
                <w:sz w:val="20"/>
                <w:szCs w:val="20"/>
              </w:rPr>
              <w:t xml:space="preserve"> </w:t>
            </w:r>
          </w:p>
        </w:tc>
        <w:tc>
          <w:tcPr>
            <w:tcW w:w="1274" w:type="dxa"/>
            <w:tcBorders>
              <w:top w:val="nil"/>
              <w:left w:val="nil"/>
              <w:bottom w:val="single" w:sz="4" w:space="0" w:color="auto"/>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w:t>
            </w:r>
            <w:r w:rsidR="00192948">
              <w:rPr>
                <w:rFonts w:cs="Arial"/>
                <w:sz w:val="20"/>
                <w:szCs w:val="20"/>
              </w:rPr>
              <w:t>706</w:t>
            </w:r>
            <w:r w:rsidRPr="006552E9">
              <w:rPr>
                <w:rFonts w:cs="Arial"/>
                <w:sz w:val="20"/>
                <w:szCs w:val="20"/>
              </w:rPr>
              <w:t xml:space="preserve"> </w:t>
            </w:r>
          </w:p>
        </w:tc>
      </w:tr>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p>
        </w:tc>
        <w:tc>
          <w:tcPr>
            <w:tcW w:w="1220"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r w:rsidRPr="006552E9">
              <w:rPr>
                <w:rFonts w:cs="Arial"/>
                <w:b/>
                <w:bCs/>
                <w:sz w:val="20"/>
                <w:szCs w:val="20"/>
              </w:rPr>
              <w:t xml:space="preserve"> </w:t>
            </w:r>
            <w:r w:rsidR="00192948" w:rsidRPr="006552E9">
              <w:rPr>
                <w:rFonts w:cs="Arial"/>
                <w:b/>
                <w:bCs/>
                <w:sz w:val="20"/>
                <w:szCs w:val="20"/>
              </w:rPr>
              <w:t>2,050</w:t>
            </w:r>
          </w:p>
        </w:tc>
        <w:tc>
          <w:tcPr>
            <w:tcW w:w="1274" w:type="dxa"/>
            <w:tcBorders>
              <w:top w:val="nil"/>
              <w:left w:val="nil"/>
              <w:bottom w:val="nil"/>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r w:rsidRPr="006552E9">
              <w:rPr>
                <w:rFonts w:cs="Arial"/>
                <w:b/>
                <w:bCs/>
                <w:sz w:val="20"/>
                <w:szCs w:val="20"/>
              </w:rPr>
              <w:t xml:space="preserve"> </w:t>
            </w:r>
            <w:r w:rsidR="00192948">
              <w:rPr>
                <w:rFonts w:cs="Arial"/>
                <w:b/>
                <w:bCs/>
                <w:sz w:val="20"/>
                <w:szCs w:val="20"/>
              </w:rPr>
              <w:t>1,870</w:t>
            </w:r>
          </w:p>
        </w:tc>
      </w:tr>
      <w:tr w:rsidR="00192948" w:rsidRPr="006552E9" w:rsidTr="002C6C3F">
        <w:trPr>
          <w:trHeight w:val="255"/>
        </w:trPr>
        <w:tc>
          <w:tcPr>
            <w:tcW w:w="6700" w:type="dxa"/>
            <w:tcBorders>
              <w:top w:val="nil"/>
              <w:left w:val="nil"/>
              <w:bottom w:val="nil"/>
              <w:right w:val="nil"/>
            </w:tcBorders>
            <w:shd w:val="clear" w:color="auto" w:fill="auto"/>
            <w:noWrap/>
            <w:vAlign w:val="bottom"/>
            <w:hideMark/>
          </w:tcPr>
          <w:p w:rsidR="00192948" w:rsidRPr="006552E9" w:rsidRDefault="00192948" w:rsidP="000F4BF7">
            <w:pPr>
              <w:spacing w:before="0"/>
              <w:jc w:val="left"/>
              <w:rPr>
                <w:rFonts w:cs="Arial"/>
                <w:sz w:val="20"/>
                <w:szCs w:val="20"/>
              </w:rPr>
            </w:pPr>
            <w:r w:rsidRPr="006552E9">
              <w:rPr>
                <w:rFonts w:cs="Arial"/>
                <w:sz w:val="20"/>
                <w:szCs w:val="20"/>
              </w:rPr>
              <w:t>Investment property (note 16) represented by</w:t>
            </w:r>
            <w:r w:rsidR="00CC38E2">
              <w:rPr>
                <w:rFonts w:cs="Arial"/>
                <w:sz w:val="20"/>
                <w:szCs w:val="20"/>
              </w:rPr>
              <w:t>:</w:t>
            </w:r>
          </w:p>
        </w:tc>
        <w:tc>
          <w:tcPr>
            <w:tcW w:w="1220" w:type="dxa"/>
            <w:tcBorders>
              <w:top w:val="nil"/>
              <w:left w:val="nil"/>
              <w:bottom w:val="nil"/>
              <w:right w:val="nil"/>
            </w:tcBorders>
            <w:shd w:val="clear" w:color="auto" w:fill="auto"/>
            <w:noWrap/>
            <w:vAlign w:val="bottom"/>
          </w:tcPr>
          <w:p w:rsidR="00192948" w:rsidRPr="006552E9" w:rsidRDefault="00192948" w:rsidP="00192948">
            <w:pPr>
              <w:spacing w:before="0"/>
              <w:jc w:val="right"/>
              <w:rPr>
                <w:rFonts w:cs="Arial"/>
                <w:sz w:val="20"/>
                <w:szCs w:val="20"/>
              </w:rPr>
            </w:pPr>
          </w:p>
        </w:tc>
        <w:tc>
          <w:tcPr>
            <w:tcW w:w="1274" w:type="dxa"/>
            <w:tcBorders>
              <w:top w:val="nil"/>
              <w:left w:val="nil"/>
              <w:bottom w:val="nil"/>
              <w:right w:val="nil"/>
            </w:tcBorders>
            <w:shd w:val="clear" w:color="auto" w:fill="auto"/>
            <w:noWrap/>
            <w:vAlign w:val="bottom"/>
          </w:tcPr>
          <w:p w:rsidR="00192948" w:rsidRPr="006552E9" w:rsidRDefault="00192948" w:rsidP="00192948">
            <w:pPr>
              <w:spacing w:before="0"/>
              <w:jc w:val="right"/>
              <w:rPr>
                <w:rFonts w:cs="Arial"/>
                <w:sz w:val="20"/>
                <w:szCs w:val="20"/>
              </w:rPr>
            </w:pPr>
          </w:p>
        </w:tc>
      </w:tr>
      <w:tr w:rsidR="00192948" w:rsidRPr="006552E9" w:rsidTr="00192948">
        <w:trPr>
          <w:trHeight w:val="255"/>
        </w:trPr>
        <w:tc>
          <w:tcPr>
            <w:tcW w:w="6700" w:type="dxa"/>
            <w:tcBorders>
              <w:top w:val="nil"/>
              <w:left w:val="nil"/>
              <w:bottom w:val="nil"/>
              <w:right w:val="nil"/>
            </w:tcBorders>
            <w:shd w:val="clear" w:color="auto" w:fill="auto"/>
            <w:noWrap/>
            <w:vAlign w:val="bottom"/>
            <w:hideMark/>
          </w:tcPr>
          <w:p w:rsidR="00192948" w:rsidRPr="006552E9" w:rsidRDefault="00192948" w:rsidP="000F4BF7">
            <w:pPr>
              <w:spacing w:before="0"/>
              <w:jc w:val="left"/>
              <w:rPr>
                <w:rFonts w:cs="Arial"/>
                <w:sz w:val="20"/>
                <w:szCs w:val="20"/>
              </w:rPr>
            </w:pPr>
            <w:r w:rsidRPr="006552E9">
              <w:rPr>
                <w:rFonts w:cs="Arial"/>
                <w:sz w:val="20"/>
                <w:szCs w:val="20"/>
              </w:rPr>
              <w:t xml:space="preserve">Land </w:t>
            </w:r>
          </w:p>
        </w:tc>
        <w:tc>
          <w:tcPr>
            <w:tcW w:w="1220" w:type="dxa"/>
            <w:tcBorders>
              <w:top w:val="nil"/>
              <w:left w:val="nil"/>
              <w:bottom w:val="nil"/>
              <w:right w:val="nil"/>
            </w:tcBorders>
            <w:shd w:val="clear" w:color="auto" w:fill="auto"/>
            <w:noWrap/>
            <w:vAlign w:val="bottom"/>
            <w:hideMark/>
          </w:tcPr>
          <w:p w:rsidR="00192948" w:rsidRPr="006552E9" w:rsidRDefault="00192948" w:rsidP="00192948">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c>
          <w:tcPr>
            <w:tcW w:w="1274" w:type="dxa"/>
            <w:tcBorders>
              <w:top w:val="nil"/>
              <w:left w:val="nil"/>
              <w:bottom w:val="nil"/>
              <w:right w:val="nil"/>
            </w:tcBorders>
            <w:shd w:val="clear" w:color="auto" w:fill="auto"/>
            <w:noWrap/>
            <w:vAlign w:val="bottom"/>
          </w:tcPr>
          <w:p w:rsidR="00192948" w:rsidRPr="006552E9" w:rsidRDefault="00192948" w:rsidP="00192948">
            <w:pPr>
              <w:spacing w:before="0"/>
              <w:jc w:val="right"/>
              <w:rPr>
                <w:rFonts w:cs="Arial"/>
                <w:sz w:val="20"/>
                <w:szCs w:val="20"/>
              </w:rPr>
            </w:pPr>
            <w:r>
              <w:rPr>
                <w:rFonts w:cs="Arial"/>
                <w:sz w:val="20"/>
                <w:szCs w:val="20"/>
              </w:rPr>
              <w:t>236</w:t>
            </w:r>
          </w:p>
        </w:tc>
      </w:tr>
      <w:tr w:rsidR="00192948" w:rsidRPr="006552E9" w:rsidTr="00192948">
        <w:trPr>
          <w:trHeight w:val="255"/>
        </w:trPr>
        <w:tc>
          <w:tcPr>
            <w:tcW w:w="6700" w:type="dxa"/>
            <w:tcBorders>
              <w:top w:val="nil"/>
              <w:left w:val="nil"/>
              <w:bottom w:val="nil"/>
              <w:right w:val="nil"/>
            </w:tcBorders>
            <w:shd w:val="clear" w:color="auto" w:fill="auto"/>
            <w:noWrap/>
            <w:vAlign w:val="bottom"/>
            <w:hideMark/>
          </w:tcPr>
          <w:p w:rsidR="00192948" w:rsidRPr="006552E9" w:rsidRDefault="00192948" w:rsidP="000F4BF7">
            <w:pPr>
              <w:spacing w:before="0"/>
              <w:jc w:val="left"/>
              <w:rPr>
                <w:rFonts w:cs="Arial"/>
                <w:sz w:val="20"/>
                <w:szCs w:val="20"/>
              </w:rPr>
            </w:pPr>
            <w:r w:rsidRPr="006552E9">
              <w:rPr>
                <w:rFonts w:cs="Arial"/>
                <w:sz w:val="20"/>
                <w:szCs w:val="20"/>
              </w:rPr>
              <w:t>Building</w:t>
            </w:r>
          </w:p>
        </w:tc>
        <w:tc>
          <w:tcPr>
            <w:tcW w:w="1220" w:type="dxa"/>
            <w:tcBorders>
              <w:top w:val="nil"/>
              <w:left w:val="nil"/>
              <w:bottom w:val="nil"/>
              <w:right w:val="nil"/>
            </w:tcBorders>
            <w:shd w:val="clear" w:color="auto" w:fill="auto"/>
            <w:noWrap/>
            <w:vAlign w:val="bottom"/>
            <w:hideMark/>
          </w:tcPr>
          <w:p w:rsidR="00192948" w:rsidRPr="006552E9" w:rsidRDefault="00192948" w:rsidP="00192948">
            <w:pPr>
              <w:spacing w:before="0"/>
              <w:jc w:val="right"/>
              <w:rPr>
                <w:rFonts w:cs="Arial"/>
                <w:sz w:val="20"/>
                <w:szCs w:val="20"/>
              </w:rPr>
            </w:pPr>
            <w:r>
              <w:rPr>
                <w:rFonts w:cs="Arial"/>
                <w:sz w:val="20"/>
                <w:szCs w:val="20"/>
              </w:rPr>
              <w:t xml:space="preserve"> –</w:t>
            </w:r>
            <w:r w:rsidRPr="006552E9">
              <w:rPr>
                <w:rFonts w:cs="Arial"/>
                <w:sz w:val="20"/>
                <w:szCs w:val="20"/>
              </w:rPr>
              <w:t xml:space="preserve"> </w:t>
            </w:r>
          </w:p>
        </w:tc>
        <w:tc>
          <w:tcPr>
            <w:tcW w:w="1274" w:type="dxa"/>
            <w:tcBorders>
              <w:top w:val="nil"/>
              <w:left w:val="nil"/>
              <w:bottom w:val="nil"/>
              <w:right w:val="nil"/>
            </w:tcBorders>
            <w:shd w:val="clear" w:color="auto" w:fill="auto"/>
            <w:noWrap/>
            <w:vAlign w:val="bottom"/>
          </w:tcPr>
          <w:p w:rsidR="00192948" w:rsidRPr="006552E9" w:rsidRDefault="00192948" w:rsidP="00192948">
            <w:pPr>
              <w:spacing w:before="0"/>
              <w:jc w:val="right"/>
              <w:rPr>
                <w:rFonts w:cs="Arial"/>
                <w:sz w:val="20"/>
                <w:szCs w:val="20"/>
              </w:rPr>
            </w:pPr>
            <w:r>
              <w:rPr>
                <w:rFonts w:cs="Arial"/>
                <w:sz w:val="20"/>
                <w:szCs w:val="20"/>
              </w:rPr>
              <w:t>144</w:t>
            </w:r>
          </w:p>
        </w:tc>
      </w:tr>
      <w:tr w:rsidR="006448C2" w:rsidRPr="006552E9" w:rsidTr="006448C2">
        <w:trPr>
          <w:trHeight w:val="255"/>
        </w:trPr>
        <w:tc>
          <w:tcPr>
            <w:tcW w:w="6700"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r w:rsidRPr="006552E9">
              <w:rPr>
                <w:rFonts w:cs="Arial"/>
                <w:b/>
                <w:bCs/>
                <w:sz w:val="20"/>
                <w:szCs w:val="20"/>
              </w:rPr>
              <w:t xml:space="preserve"> </w:t>
            </w:r>
            <w:r w:rsidR="00192948">
              <w:rPr>
                <w:rFonts w:cs="Arial"/>
                <w:b/>
                <w:bCs/>
                <w:sz w:val="20"/>
                <w:szCs w:val="20"/>
              </w:rPr>
              <w:t>–</w:t>
            </w:r>
          </w:p>
        </w:tc>
        <w:tc>
          <w:tcPr>
            <w:tcW w:w="1274" w:type="dxa"/>
            <w:tcBorders>
              <w:top w:val="single" w:sz="4" w:space="0" w:color="auto"/>
              <w:left w:val="nil"/>
              <w:bottom w:val="single" w:sz="4" w:space="0" w:color="auto"/>
              <w:right w:val="nil"/>
            </w:tcBorders>
            <w:shd w:val="clear" w:color="auto" w:fill="auto"/>
            <w:noWrap/>
            <w:vAlign w:val="bottom"/>
            <w:hideMark/>
          </w:tcPr>
          <w:p w:rsidR="006448C2" w:rsidRPr="006552E9" w:rsidRDefault="00C02722" w:rsidP="00192948">
            <w:pPr>
              <w:spacing w:before="0"/>
              <w:jc w:val="right"/>
              <w:rPr>
                <w:rFonts w:cs="Arial"/>
                <w:b/>
                <w:bCs/>
                <w:sz w:val="20"/>
                <w:szCs w:val="20"/>
              </w:rPr>
            </w:pPr>
            <w:r>
              <w:rPr>
                <w:rFonts w:cs="Arial"/>
                <w:b/>
                <w:bCs/>
                <w:sz w:val="20"/>
                <w:szCs w:val="20"/>
              </w:rPr>
              <w:t xml:space="preserve"> </w:t>
            </w:r>
            <w:r w:rsidR="00192948">
              <w:rPr>
                <w:rFonts w:cs="Arial"/>
                <w:b/>
                <w:bCs/>
                <w:sz w:val="20"/>
                <w:szCs w:val="20"/>
              </w:rPr>
              <w:t>380</w:t>
            </w:r>
          </w:p>
        </w:tc>
      </w:tr>
    </w:tbl>
    <w:p w:rsidR="000F4BF7" w:rsidRPr="006552E9" w:rsidRDefault="000F4BF7" w:rsidP="000F4BF7">
      <w:r w:rsidRPr="006552E9">
        <w:t>The change in fair value of land and building and investment property will be reflected as follows:</w:t>
      </w:r>
    </w:p>
    <w:p w:rsidR="006448C2" w:rsidRPr="006552E9" w:rsidRDefault="006448C2" w:rsidP="006448C2">
      <w:pPr>
        <w:pStyle w:val="Tabletext"/>
      </w:pPr>
    </w:p>
    <w:tbl>
      <w:tblPr>
        <w:tblW w:w="9229" w:type="dxa"/>
        <w:tblInd w:w="93" w:type="dxa"/>
        <w:tblLook w:val="04A0" w:firstRow="1" w:lastRow="0" w:firstColumn="1" w:lastColumn="0" w:noHBand="0" w:noVBand="1"/>
      </w:tblPr>
      <w:tblGrid>
        <w:gridCol w:w="7812"/>
        <w:gridCol w:w="1417"/>
      </w:tblGrid>
      <w:tr w:rsidR="000F4BF7" w:rsidRPr="006552E9" w:rsidTr="003752FC">
        <w:trPr>
          <w:trHeight w:val="255"/>
        </w:trPr>
        <w:tc>
          <w:tcPr>
            <w:tcW w:w="7812" w:type="dxa"/>
            <w:tcBorders>
              <w:top w:val="nil"/>
              <w:left w:val="nil"/>
              <w:bottom w:val="nil"/>
              <w:right w:val="nil"/>
            </w:tcBorders>
            <w:shd w:val="clear" w:color="auto" w:fill="auto"/>
            <w:noWrap/>
            <w:vAlign w:val="bottom"/>
            <w:hideMark/>
          </w:tcPr>
          <w:p w:rsidR="000F4BF7" w:rsidRPr="006552E9" w:rsidRDefault="000F4BF7" w:rsidP="000F4BF7">
            <w:pPr>
              <w:spacing w:before="0"/>
              <w:jc w:val="left"/>
              <w:rPr>
                <w:rFonts w:cs="Arial"/>
                <w:sz w:val="20"/>
                <w:szCs w:val="20"/>
              </w:rPr>
            </w:pPr>
            <w:r w:rsidRPr="006552E9">
              <w:rPr>
                <w:rFonts w:cs="Arial"/>
                <w:sz w:val="20"/>
                <w:szCs w:val="20"/>
              </w:rPr>
              <w:t xml:space="preserve">Loss on de-recognition of </w:t>
            </w:r>
            <w:r w:rsidR="00A72BA6" w:rsidRPr="006552E9">
              <w:rPr>
                <w:rFonts w:cs="Arial"/>
                <w:sz w:val="20"/>
                <w:szCs w:val="20"/>
              </w:rPr>
              <w:t xml:space="preserve">investment property </w:t>
            </w:r>
            <w:r w:rsidRPr="006552E9">
              <w:rPr>
                <w:rFonts w:cs="Arial"/>
                <w:sz w:val="20"/>
                <w:szCs w:val="20"/>
              </w:rPr>
              <w:t>through net operating surplus/(deficit)</w:t>
            </w:r>
          </w:p>
        </w:tc>
        <w:tc>
          <w:tcPr>
            <w:tcW w:w="1417" w:type="dxa"/>
            <w:tcBorders>
              <w:top w:val="nil"/>
              <w:left w:val="nil"/>
              <w:bottom w:val="nil"/>
              <w:right w:val="nil"/>
            </w:tcBorders>
            <w:shd w:val="clear" w:color="auto" w:fill="auto"/>
            <w:noWrap/>
            <w:vAlign w:val="bottom"/>
            <w:hideMark/>
          </w:tcPr>
          <w:p w:rsidR="000F4BF7" w:rsidRPr="006552E9" w:rsidRDefault="0087298E" w:rsidP="00192948">
            <w:pPr>
              <w:spacing w:before="0"/>
              <w:jc w:val="right"/>
              <w:rPr>
                <w:rFonts w:cs="Arial"/>
                <w:sz w:val="20"/>
                <w:szCs w:val="20"/>
              </w:rPr>
            </w:pPr>
            <w:r w:rsidRPr="006552E9">
              <w:rPr>
                <w:rFonts w:cs="Arial"/>
                <w:sz w:val="20"/>
                <w:szCs w:val="20"/>
              </w:rPr>
              <w:t xml:space="preserve"> </w:t>
            </w:r>
            <w:r w:rsidR="000F4BF7" w:rsidRPr="006552E9">
              <w:rPr>
                <w:rFonts w:cs="Arial"/>
                <w:sz w:val="20"/>
                <w:szCs w:val="20"/>
              </w:rPr>
              <w:t>(380)</w:t>
            </w:r>
          </w:p>
        </w:tc>
      </w:tr>
      <w:tr w:rsidR="006448C2" w:rsidRPr="006552E9" w:rsidTr="003752FC">
        <w:trPr>
          <w:trHeight w:val="255"/>
        </w:trPr>
        <w:tc>
          <w:tcPr>
            <w:tcW w:w="7812" w:type="dxa"/>
            <w:tcBorders>
              <w:top w:val="nil"/>
              <w:left w:val="nil"/>
              <w:bottom w:val="nil"/>
              <w:right w:val="nil"/>
            </w:tcBorders>
            <w:shd w:val="clear" w:color="auto" w:fill="auto"/>
            <w:noWrap/>
            <w:vAlign w:val="bottom"/>
            <w:hideMark/>
          </w:tcPr>
          <w:p w:rsidR="006448C2" w:rsidRPr="006552E9" w:rsidRDefault="006448C2" w:rsidP="00A72BA6">
            <w:pPr>
              <w:spacing w:before="0"/>
              <w:jc w:val="left"/>
              <w:rPr>
                <w:rFonts w:cs="Arial"/>
                <w:sz w:val="20"/>
                <w:szCs w:val="20"/>
              </w:rPr>
            </w:pPr>
            <w:r w:rsidRPr="006552E9">
              <w:rPr>
                <w:rFonts w:cs="Arial"/>
                <w:sz w:val="20"/>
                <w:szCs w:val="20"/>
              </w:rPr>
              <w:t>Revaluation gain on land and building through revaluation reserve</w:t>
            </w:r>
            <w:r w:rsidRPr="006552E9">
              <w:rPr>
                <w:rFonts w:cs="Arial"/>
                <w:b/>
                <w:bCs/>
                <w:sz w:val="20"/>
                <w:szCs w:val="20"/>
              </w:rPr>
              <w:t>*</w:t>
            </w:r>
          </w:p>
        </w:tc>
        <w:tc>
          <w:tcPr>
            <w:tcW w:w="1417" w:type="dxa"/>
            <w:tcBorders>
              <w:top w:val="nil"/>
              <w:left w:val="nil"/>
              <w:bottom w:val="single" w:sz="4" w:space="0" w:color="auto"/>
              <w:right w:val="nil"/>
            </w:tcBorders>
            <w:shd w:val="clear" w:color="auto" w:fill="auto"/>
            <w:noWrap/>
            <w:vAlign w:val="bottom"/>
            <w:hideMark/>
          </w:tcPr>
          <w:p w:rsidR="006448C2" w:rsidRPr="006552E9" w:rsidRDefault="006448C2" w:rsidP="00192948">
            <w:pPr>
              <w:spacing w:before="0"/>
              <w:jc w:val="right"/>
              <w:rPr>
                <w:rFonts w:cs="Arial"/>
                <w:sz w:val="20"/>
                <w:szCs w:val="20"/>
              </w:rPr>
            </w:pPr>
            <w:r w:rsidRPr="006552E9">
              <w:rPr>
                <w:rFonts w:cs="Arial"/>
                <w:sz w:val="20"/>
                <w:szCs w:val="20"/>
              </w:rPr>
              <w:t xml:space="preserve"> 180 </w:t>
            </w:r>
          </w:p>
        </w:tc>
      </w:tr>
      <w:tr w:rsidR="006448C2" w:rsidRPr="006552E9" w:rsidTr="003752FC">
        <w:trPr>
          <w:trHeight w:val="255"/>
        </w:trPr>
        <w:tc>
          <w:tcPr>
            <w:tcW w:w="7812" w:type="dxa"/>
            <w:tcBorders>
              <w:top w:val="nil"/>
              <w:left w:val="nil"/>
              <w:bottom w:val="nil"/>
              <w:right w:val="nil"/>
            </w:tcBorders>
            <w:shd w:val="clear" w:color="auto" w:fill="auto"/>
            <w:noWrap/>
            <w:vAlign w:val="bottom"/>
            <w:hideMark/>
          </w:tcPr>
          <w:p w:rsidR="006448C2" w:rsidRPr="006552E9" w:rsidRDefault="006448C2" w:rsidP="000F4BF7">
            <w:pPr>
              <w:spacing w:before="0"/>
              <w:jc w:val="left"/>
              <w:rPr>
                <w:rFonts w:cs="Arial"/>
                <w:sz w:val="20"/>
                <w:szCs w:val="20"/>
              </w:rPr>
            </w:pPr>
          </w:p>
        </w:tc>
        <w:tc>
          <w:tcPr>
            <w:tcW w:w="1417" w:type="dxa"/>
            <w:tcBorders>
              <w:top w:val="nil"/>
              <w:left w:val="nil"/>
              <w:bottom w:val="single" w:sz="4" w:space="0" w:color="auto"/>
              <w:right w:val="nil"/>
            </w:tcBorders>
            <w:shd w:val="clear" w:color="auto" w:fill="auto"/>
            <w:noWrap/>
            <w:vAlign w:val="bottom"/>
            <w:hideMark/>
          </w:tcPr>
          <w:p w:rsidR="006448C2" w:rsidRPr="006552E9" w:rsidRDefault="006448C2" w:rsidP="00192948">
            <w:pPr>
              <w:spacing w:before="0"/>
              <w:jc w:val="right"/>
              <w:rPr>
                <w:rFonts w:cs="Arial"/>
                <w:b/>
                <w:bCs/>
                <w:sz w:val="20"/>
                <w:szCs w:val="20"/>
              </w:rPr>
            </w:pPr>
            <w:r w:rsidRPr="006552E9">
              <w:rPr>
                <w:rFonts w:cs="Arial"/>
                <w:b/>
                <w:bCs/>
                <w:sz w:val="20"/>
                <w:szCs w:val="20"/>
              </w:rPr>
              <w:t xml:space="preserve"> (200)</w:t>
            </w:r>
          </w:p>
        </w:tc>
      </w:tr>
    </w:tbl>
    <w:p w:rsidR="000F4BF7" w:rsidRDefault="000F4BF7" w:rsidP="000F4BF7">
      <w:r w:rsidRPr="006552E9">
        <w:t xml:space="preserve">* A revaluation gain on land and building is a result of a decrease in valuation of the Old Public Trust Building (and associated land) by $200,000 and a recognition of the portion of land and building that was previously allocated to the </w:t>
      </w:r>
      <w:r w:rsidR="006448C2" w:rsidRPr="006552E9">
        <w:t>investment property</w:t>
      </w:r>
      <w:r w:rsidRPr="006552E9">
        <w:t>.</w:t>
      </w:r>
    </w:p>
    <w:p w:rsidR="00192948" w:rsidRDefault="00192948" w:rsidP="000F4BF7">
      <w:r w:rsidRPr="00192948">
        <w:t>At the August 2013 meeting, the Arts Council agreed that Creative New Zealand sell its share in the Old Public Trust Building</w:t>
      </w:r>
      <w:r>
        <w:t>.</w:t>
      </w:r>
    </w:p>
    <w:p w:rsidR="00192948" w:rsidRPr="006552E9" w:rsidRDefault="00192948" w:rsidP="000F4BF7">
      <w:r w:rsidRPr="00192948">
        <w:t>The impending sale of the Old Public Trust Building and the move of Creative New Zealand's head office to new premises will also result in the disposal of building improvements related to the building and some furniture and fittings. The carrying amount of the building improvements related to the Old Public Trust Building at 30 June 2013 is $154,000. The financial impact of the Old Public Trust Building sale and the related disposals cannot be quantified at present.</w:t>
      </w:r>
    </w:p>
    <w:p w:rsidR="000F4BF7" w:rsidRPr="006552E9" w:rsidRDefault="00A72BA6" w:rsidP="000F4BF7">
      <w:r w:rsidRPr="006552E9">
        <w:t xml:space="preserve">No </w:t>
      </w:r>
      <w:r w:rsidR="000F4BF7" w:rsidRPr="006552E9">
        <w:t xml:space="preserve">other events </w:t>
      </w:r>
      <w:r>
        <w:t xml:space="preserve">have occurred </w:t>
      </w:r>
      <w:r w:rsidR="000F4BF7" w:rsidRPr="006552E9">
        <w:t>subsequent to 30 June 2013 that materially affect these financial statements.</w:t>
      </w:r>
    </w:p>
    <w:p w:rsidR="00132982" w:rsidRPr="006552E9" w:rsidRDefault="00132982" w:rsidP="00C96140">
      <w:r w:rsidRPr="006552E9">
        <w:br w:type="page"/>
      </w:r>
    </w:p>
    <w:p w:rsidR="00A52484" w:rsidRPr="006552E9" w:rsidRDefault="00A52484" w:rsidP="00175E6D">
      <w:pPr>
        <w:spacing w:before="0"/>
        <w:jc w:val="left"/>
        <w:rPr>
          <w:rFonts w:ascii="Arial Black" w:hAnsi="Arial Black"/>
          <w:bCs/>
          <w:color w:val="244061"/>
          <w:kern w:val="32"/>
          <w:sz w:val="36"/>
          <w:szCs w:val="36"/>
        </w:rPr>
      </w:pPr>
    </w:p>
    <w:p w:rsidR="0090381D" w:rsidRPr="006552E9" w:rsidRDefault="0090381D" w:rsidP="0090381D">
      <w:pPr>
        <w:pStyle w:val="Title"/>
        <w:jc w:val="left"/>
      </w:pPr>
      <w:bookmarkStart w:id="101" w:name="_Toc373415057"/>
      <w:r w:rsidRPr="006552E9">
        <w:t>PART FOUR: APPENDICES</w:t>
      </w:r>
      <w:r w:rsidR="00CC38E2">
        <w:t xml:space="preserve"> | </w:t>
      </w:r>
      <w:r w:rsidR="00CC38E2">
        <w:br/>
        <w:t>PEPA TĀPIRI</w:t>
      </w:r>
      <w:bookmarkEnd w:id="101"/>
    </w:p>
    <w:p w:rsidR="00194037" w:rsidRPr="006552E9" w:rsidRDefault="00AE715B" w:rsidP="00463052">
      <w:pPr>
        <w:pStyle w:val="Heading1"/>
        <w:jc w:val="left"/>
      </w:pPr>
      <w:r w:rsidRPr="006552E9">
        <w:br w:type="page"/>
      </w:r>
      <w:bookmarkStart w:id="102" w:name="_Toc373415058"/>
      <w:r w:rsidR="004C2D73" w:rsidRPr="006552E9">
        <w:t xml:space="preserve">Appendix 1: </w:t>
      </w:r>
      <w:bookmarkStart w:id="103" w:name="_Toc303265764"/>
      <w:r w:rsidR="00463052" w:rsidRPr="006552E9">
        <w:br/>
      </w:r>
      <w:r w:rsidR="00194037" w:rsidRPr="006552E9">
        <w:t xml:space="preserve">Creative New Zealand – Who We Are | </w:t>
      </w:r>
      <w:r w:rsidR="00194037" w:rsidRPr="006552E9">
        <w:br/>
        <w:t>Toi Aotearoa – Ko wai mātou</w:t>
      </w:r>
      <w:bookmarkEnd w:id="102"/>
      <w:bookmarkEnd w:id="103"/>
    </w:p>
    <w:p w:rsidR="00194037" w:rsidRPr="006552E9" w:rsidRDefault="00194037" w:rsidP="00194037">
      <w:bookmarkStart w:id="104" w:name="_Toc231184924"/>
      <w:bookmarkStart w:id="105" w:name="_Toc276561839"/>
      <w:r w:rsidRPr="006552E9">
        <w:t>The Arts Council of New Zealand Toi Aotearoa (which operates under the trading name of Creative New Zealand) was established by the Arts Council of New Zealand Toi Aotearoa Act 1994</w:t>
      </w:r>
      <w:r w:rsidR="009C6829" w:rsidRPr="006552E9">
        <w:t>.</w:t>
      </w:r>
      <w:r w:rsidR="00175E6D" w:rsidRPr="006552E9">
        <w:t xml:space="preserve"> </w:t>
      </w:r>
    </w:p>
    <w:p w:rsidR="00194037" w:rsidRPr="006552E9" w:rsidRDefault="00194037" w:rsidP="00194037">
      <w:r w:rsidRPr="006552E9">
        <w:t>We are the national agency for the development of the arts</w:t>
      </w:r>
      <w:r w:rsidR="009C6829" w:rsidRPr="006552E9">
        <w:t>.</w:t>
      </w:r>
      <w:r w:rsidR="00175E6D" w:rsidRPr="006552E9">
        <w:t xml:space="preserve"> </w:t>
      </w:r>
      <w:r w:rsidRPr="006552E9">
        <w:t>Our purpose under the Act is to ‘encourage, promote and support the arts in New Zealand for the benefit of all New Zealanders’.</w:t>
      </w:r>
      <w:r w:rsidRPr="006552E9">
        <w:rPr>
          <w:rStyle w:val="FootnoteReference"/>
        </w:rPr>
        <w:footnoteReference w:id="26"/>
      </w:r>
      <w:r w:rsidRPr="006552E9">
        <w:t xml:space="preserve"> </w:t>
      </w:r>
    </w:p>
    <w:p w:rsidR="00194037" w:rsidRPr="006552E9" w:rsidRDefault="00194037" w:rsidP="00E22C83">
      <w:pPr>
        <w:pStyle w:val="Style1"/>
        <w:rPr>
          <w:szCs w:val="22"/>
        </w:rPr>
      </w:pPr>
      <w:bookmarkStart w:id="106" w:name="_Toc276561841"/>
      <w:bookmarkStart w:id="107" w:name="_Toc303265767"/>
      <w:bookmarkStart w:id="108" w:name="_Toc231184926"/>
      <w:bookmarkEnd w:id="104"/>
      <w:bookmarkEnd w:id="105"/>
      <w:r w:rsidRPr="006552E9">
        <w:t>What we are trying to achieve</w:t>
      </w:r>
      <w:bookmarkEnd w:id="106"/>
      <w:bookmarkEnd w:id="107"/>
      <w:r w:rsidRPr="006552E9">
        <w:t xml:space="preserve"> </w:t>
      </w:r>
      <w:bookmarkEnd w:id="108"/>
    </w:p>
    <w:p w:rsidR="00194037" w:rsidRPr="006552E9" w:rsidRDefault="00194037" w:rsidP="00194037">
      <w:r w:rsidRPr="006552E9">
        <w:t>We support four strategic outcomes on behalf of all New Zealanders:</w:t>
      </w:r>
    </w:p>
    <w:p w:rsidR="00194037" w:rsidRPr="006552E9" w:rsidRDefault="00194037" w:rsidP="00E122E7">
      <w:pPr>
        <w:pStyle w:val="BulletNumber"/>
        <w:numPr>
          <w:ilvl w:val="0"/>
          <w:numId w:val="34"/>
        </w:numPr>
      </w:pPr>
      <w:r w:rsidRPr="006552E9">
        <w:t>New Zealanders participate in the arts</w:t>
      </w:r>
    </w:p>
    <w:p w:rsidR="00194037" w:rsidRPr="006552E9" w:rsidRDefault="00194037" w:rsidP="00E122E7">
      <w:pPr>
        <w:pStyle w:val="BulletNumber"/>
        <w:numPr>
          <w:ilvl w:val="0"/>
          <w:numId w:val="34"/>
        </w:numPr>
      </w:pPr>
      <w:r w:rsidRPr="006552E9">
        <w:t>High-quality New Zealand art is developed</w:t>
      </w:r>
    </w:p>
    <w:p w:rsidR="00194037" w:rsidRPr="006552E9" w:rsidRDefault="00194037" w:rsidP="00E122E7">
      <w:pPr>
        <w:pStyle w:val="BulletNumber"/>
        <w:numPr>
          <w:ilvl w:val="0"/>
          <w:numId w:val="34"/>
        </w:numPr>
      </w:pPr>
      <w:r w:rsidRPr="006552E9">
        <w:t>New Zealanders experience high-quality arts</w:t>
      </w:r>
    </w:p>
    <w:p w:rsidR="00194037" w:rsidRPr="006552E9" w:rsidRDefault="00194037" w:rsidP="00E122E7">
      <w:pPr>
        <w:pStyle w:val="BulletNumber"/>
        <w:numPr>
          <w:ilvl w:val="0"/>
          <w:numId w:val="34"/>
        </w:numPr>
      </w:pPr>
      <w:r w:rsidRPr="006552E9">
        <w:t>New Zealand arts gain international success.</w:t>
      </w:r>
    </w:p>
    <w:p w:rsidR="00194037" w:rsidRPr="006552E9" w:rsidRDefault="00194037" w:rsidP="00194037">
      <w:r w:rsidRPr="006552E9">
        <w:t xml:space="preserve">These outcomes, their associated impacts and performance measures are identified in our </w:t>
      </w:r>
      <w:r w:rsidR="00BF5FF3" w:rsidRPr="006552E9">
        <w:t>SOI</w:t>
      </w:r>
      <w:r w:rsidRPr="006552E9">
        <w:t xml:space="preserve"> 201</w:t>
      </w:r>
      <w:r w:rsidR="00E122E7" w:rsidRPr="006552E9">
        <w:t>2</w:t>
      </w:r>
      <w:r w:rsidRPr="006552E9">
        <w:t>–1</w:t>
      </w:r>
      <w:r w:rsidR="00E122E7" w:rsidRPr="006552E9">
        <w:t>5</w:t>
      </w:r>
      <w:r w:rsidRPr="006552E9">
        <w:t>.</w:t>
      </w:r>
      <w:r w:rsidRPr="006552E9">
        <w:rPr>
          <w:rStyle w:val="FootnoteReference"/>
          <w:rFonts w:cs="Arial"/>
          <w:szCs w:val="22"/>
        </w:rPr>
        <w:footnoteReference w:id="27"/>
      </w:r>
      <w:r w:rsidRPr="006552E9">
        <w:t xml:space="preserve"> We measure our performance against each outcome and report against our targets in Part Two of this annual report</w:t>
      </w:r>
      <w:r w:rsidR="009C6829" w:rsidRPr="006552E9">
        <w:t>.</w:t>
      </w:r>
      <w:r w:rsidR="00175E6D" w:rsidRPr="006552E9">
        <w:t xml:space="preserve"> </w:t>
      </w:r>
    </w:p>
    <w:p w:rsidR="00194037" w:rsidRPr="006552E9" w:rsidRDefault="00194037" w:rsidP="00E22C83">
      <w:pPr>
        <w:pStyle w:val="Style1"/>
      </w:pPr>
      <w:bookmarkStart w:id="109" w:name="_Toc276561842"/>
      <w:bookmarkStart w:id="110" w:name="_Toc303265768"/>
      <w:bookmarkStart w:id="111" w:name="_Toc231184927"/>
      <w:r w:rsidRPr="006552E9">
        <w:t>What we do</w:t>
      </w:r>
      <w:bookmarkEnd w:id="109"/>
      <w:bookmarkEnd w:id="110"/>
      <w:r w:rsidRPr="006552E9">
        <w:t xml:space="preserve"> </w:t>
      </w:r>
      <w:bookmarkEnd w:id="111"/>
    </w:p>
    <w:p w:rsidR="00194037" w:rsidRPr="006552E9" w:rsidRDefault="00194037" w:rsidP="00194037">
      <w:r w:rsidRPr="006552E9">
        <w:t xml:space="preserve">To support </w:t>
      </w:r>
      <w:r w:rsidR="00A72BA6">
        <w:t>its</w:t>
      </w:r>
      <w:r w:rsidRPr="006552E9">
        <w:t xml:space="preserve"> outcomes, Creative New Zealand provides three </w:t>
      </w:r>
      <w:r w:rsidR="00A72BA6">
        <w:t>main</w:t>
      </w:r>
      <w:r w:rsidRPr="006552E9">
        <w:t xml:space="preserve"> services or output areas: funding, capability building and advocacy</w:t>
      </w:r>
      <w:r w:rsidR="009C6829" w:rsidRPr="006552E9">
        <w:t>.</w:t>
      </w:r>
      <w:r w:rsidR="00175E6D" w:rsidRPr="006552E9">
        <w:t xml:space="preserve"> </w:t>
      </w:r>
      <w:r w:rsidRPr="006552E9">
        <w:t>We monitor and compare what is achieved in these three areas to understand where the greatest benefit is obtained</w:t>
      </w:r>
      <w:r w:rsidR="009C6829" w:rsidRPr="006552E9">
        <w:t>.</w:t>
      </w:r>
      <w:r w:rsidR="00175E6D" w:rsidRPr="006552E9">
        <w:t xml:space="preserve"> </w:t>
      </w:r>
      <w:r w:rsidRPr="006552E9">
        <w:t xml:space="preserve">The measures of success for our output areas are detailed in the </w:t>
      </w:r>
      <w:r w:rsidR="00BF5FF3" w:rsidRPr="006552E9">
        <w:t>SOI</w:t>
      </w:r>
      <w:r w:rsidRPr="006552E9">
        <w:t xml:space="preserve"> 201</w:t>
      </w:r>
      <w:r w:rsidR="00E122E7" w:rsidRPr="006552E9">
        <w:t>2</w:t>
      </w:r>
      <w:r w:rsidRPr="006552E9">
        <w:t>–1</w:t>
      </w:r>
      <w:r w:rsidR="00E122E7" w:rsidRPr="006552E9">
        <w:t>5</w:t>
      </w:r>
      <w:r w:rsidRPr="006552E9">
        <w:rPr>
          <w:i/>
        </w:rPr>
        <w:t xml:space="preserve"> </w:t>
      </w:r>
      <w:r w:rsidRPr="006552E9">
        <w:t xml:space="preserve">and reported on in the </w:t>
      </w:r>
      <w:r w:rsidR="00E122E7" w:rsidRPr="006552E9">
        <w:t>Performance against Output Areas section of</w:t>
      </w:r>
      <w:r w:rsidRPr="006552E9">
        <w:t xml:space="preserve"> Part </w:t>
      </w:r>
      <w:r w:rsidR="00E122E7" w:rsidRPr="006552E9">
        <w:t>Two</w:t>
      </w:r>
      <w:r w:rsidRPr="006552E9">
        <w:t xml:space="preserve"> of this annual report.</w:t>
      </w:r>
    </w:p>
    <w:p w:rsidR="00194037" w:rsidRPr="006552E9" w:rsidRDefault="00194037" w:rsidP="00E22C83">
      <w:pPr>
        <w:pStyle w:val="Style1"/>
      </w:pPr>
      <w:r w:rsidRPr="006552E9">
        <w:t>How it links together</w:t>
      </w:r>
    </w:p>
    <w:p w:rsidR="00194037" w:rsidRPr="006552E9" w:rsidRDefault="00194037" w:rsidP="00194037">
      <w:r w:rsidRPr="006552E9">
        <w:t>The relationship between our legislation and vision, purpose, outcomes and impacts, and the se</w:t>
      </w:r>
      <w:r w:rsidR="000F56F2" w:rsidRPr="006552E9">
        <w:t xml:space="preserve">rvices we provide are shown in </w:t>
      </w:r>
      <w:r w:rsidR="0074767A" w:rsidRPr="006552E9">
        <w:t xml:space="preserve">Figure </w:t>
      </w:r>
      <w:r w:rsidR="001A1F85">
        <w:t>2</w:t>
      </w:r>
      <w:r w:rsidR="00203B9F">
        <w:t>8</w:t>
      </w:r>
      <w:r w:rsidR="009C6829" w:rsidRPr="006552E9">
        <w:t>.</w:t>
      </w:r>
      <w:r w:rsidR="00175E6D" w:rsidRPr="006552E9">
        <w:t xml:space="preserve"> </w:t>
      </w:r>
    </w:p>
    <w:p w:rsidR="00194037" w:rsidRPr="006552E9" w:rsidRDefault="005D6E4A" w:rsidP="00194037">
      <w:pPr>
        <w:keepNext/>
      </w:pPr>
      <w:r>
        <w:rPr>
          <w:noProof/>
        </w:rPr>
        <w:pict>
          <v:shape id="_x0000_i1044" type="#_x0000_t75" alt="Diagram showing the linkages between the things Creative New Zealand does, the impact and outcomes we want to achieve, our purpose and vision, and the principles and purpose of the Arts Council of New Zealand Toi Aotearoa Act." style="width:453.9pt;height:646.75pt">
            <v:imagedata r:id="rId52" o:title=""/>
          </v:shape>
        </w:pict>
      </w:r>
    </w:p>
    <w:p w:rsidR="00194037" w:rsidRPr="006552E9" w:rsidRDefault="00194037" w:rsidP="00194037">
      <w:pPr>
        <w:pStyle w:val="Caption"/>
      </w:pPr>
      <w:bookmarkStart w:id="112" w:name="_Toc339284223"/>
      <w:r w:rsidRPr="006552E9">
        <w:t xml:space="preserve">Figure </w:t>
      </w:r>
      <w:r w:rsidR="006E1B57" w:rsidRPr="006552E9">
        <w:fldChar w:fldCharType="begin"/>
      </w:r>
      <w:r w:rsidR="00D12AC4" w:rsidRPr="006552E9">
        <w:instrText xml:space="preserve"> SEQ Figure \* ARABIC </w:instrText>
      </w:r>
      <w:r w:rsidR="006E1B57" w:rsidRPr="006552E9">
        <w:fldChar w:fldCharType="separate"/>
      </w:r>
      <w:r w:rsidR="002F6A04">
        <w:rPr>
          <w:noProof/>
        </w:rPr>
        <w:t>28</w:t>
      </w:r>
      <w:r w:rsidR="006E1B57" w:rsidRPr="006552E9">
        <w:fldChar w:fldCharType="end"/>
      </w:r>
      <w:r w:rsidRPr="006552E9">
        <w:t>: Linkages between legislative requirements and Creative New Zealand’s vision, purpose, outcomes/impacts and services</w:t>
      </w:r>
      <w:bookmarkEnd w:id="112"/>
    </w:p>
    <w:p w:rsidR="002D7F5E" w:rsidRPr="006552E9" w:rsidRDefault="00194037" w:rsidP="00E14C21">
      <w:pPr>
        <w:pStyle w:val="Heading2"/>
      </w:pPr>
      <w:bookmarkStart w:id="113" w:name="_Toc373415059"/>
      <w:r w:rsidRPr="006552E9">
        <w:t xml:space="preserve">Governance </w:t>
      </w:r>
      <w:r w:rsidR="00F82B3C" w:rsidRPr="006552E9">
        <w:t>structure</w:t>
      </w:r>
      <w:bookmarkEnd w:id="113"/>
    </w:p>
    <w:p w:rsidR="002D7F5E" w:rsidRPr="006552E9" w:rsidRDefault="002D7F5E" w:rsidP="002D7F5E">
      <w:r w:rsidRPr="006552E9">
        <w:t>Creative New Zealand’s structure is determined by the Arts Council of New Zealand Toi Aotearoa Act 1994 (the Act)</w:t>
      </w:r>
      <w:r w:rsidR="009C6829" w:rsidRPr="006552E9">
        <w:t>.</w:t>
      </w:r>
      <w:r w:rsidR="00175E6D" w:rsidRPr="006552E9">
        <w:t xml:space="preserve"> </w:t>
      </w:r>
      <w:r w:rsidR="00F82B3C">
        <w:t xml:space="preserve">Figure 29 shows the </w:t>
      </w:r>
      <w:r w:rsidR="00514071" w:rsidRPr="006552E9">
        <w:t>present</w:t>
      </w:r>
      <w:r w:rsidR="00F82B3C">
        <w:t xml:space="preserve"> structure, consisting of</w:t>
      </w:r>
      <w:r w:rsidRPr="006552E9">
        <w:t>:</w:t>
      </w:r>
    </w:p>
    <w:p w:rsidR="002D7F5E" w:rsidRPr="006552E9" w:rsidRDefault="002D7F5E" w:rsidP="0064700A">
      <w:pPr>
        <w:pStyle w:val="Bullet"/>
      </w:pPr>
      <w:r w:rsidRPr="006552E9">
        <w:t>the Arts Council</w:t>
      </w:r>
    </w:p>
    <w:p w:rsidR="002D7F5E" w:rsidRPr="006552E9" w:rsidRDefault="002D7F5E" w:rsidP="0064700A">
      <w:pPr>
        <w:pStyle w:val="Bullet"/>
      </w:pPr>
      <w:r w:rsidRPr="006552E9">
        <w:t xml:space="preserve">two arts boards: the Arts Board and Te Waka Toi (the Māori </w:t>
      </w:r>
      <w:r w:rsidR="00276088" w:rsidRPr="006552E9">
        <w:t>A</w:t>
      </w:r>
      <w:r w:rsidRPr="006552E9">
        <w:t xml:space="preserve">rts </w:t>
      </w:r>
      <w:r w:rsidR="00276088" w:rsidRPr="006552E9">
        <w:t>B</w:t>
      </w:r>
      <w:r w:rsidRPr="006552E9">
        <w:t>oard)</w:t>
      </w:r>
    </w:p>
    <w:p w:rsidR="002D7F5E" w:rsidRPr="006552E9" w:rsidRDefault="002D7F5E" w:rsidP="0064700A">
      <w:pPr>
        <w:pStyle w:val="Bullet"/>
      </w:pPr>
      <w:r w:rsidRPr="006552E9">
        <w:t>the Pacific Arts Committee, which is a committee of the Arts Board</w:t>
      </w:r>
    </w:p>
    <w:p w:rsidR="002D7F5E" w:rsidRPr="006552E9" w:rsidRDefault="002D7F5E" w:rsidP="0064700A">
      <w:pPr>
        <w:pStyle w:val="Bullet"/>
      </w:pPr>
      <w:r w:rsidRPr="006552E9">
        <w:t>management and staff.</w:t>
      </w:r>
    </w:p>
    <w:p w:rsidR="00AE1ECD" w:rsidRPr="006552E9" w:rsidRDefault="005D6E4A" w:rsidP="00AE1ECD">
      <w:r>
        <w:pict>
          <v:group id="Canvas 920" o:spid="_x0000_s1026" editas="canvas" alt="Figure 44 - organisation chart showing Arts Council influence over Arts Board and Te Waka Toi, plus formal reporting relationships; Pacific Arts Committee to Arts Board and management and staff to Arts Council." style="width:333pt;height:339.85pt;mso-position-horizontal-relative:char;mso-position-vertical-relative:line" coordsize="42291,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">
            <v:shape id="_x0000_s1027" type="#_x0000_t75" alt="Figure 44 - organisation chart showing Arts Council influence over Arts Board and Te Waka Toi, plus formal reporting relationships; Pacific Arts Committee to Arts Board and management and staff to Arts Council." style="position:absolute;width:42291;height:43160;visibility:visible;mso-wrap-style:square">
              <v:fill o:detectmouseclick="t"/>
              <v:path o:connecttype="none"/>
            </v:shape>
            <v:oval id="Oval 922" o:spid="_x0000_s1028" style="position:absolute;left:15958;top:2039;width:15522;height:1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Va78A&#10;AADaAAAADwAAAGRycy9kb3ducmV2LnhtbESPzYoCMRCE7wu+Q2jB25rRlUFHo4jgqkd/HqCZ9Pzg&#10;pBMmUce3N4Lgsaiqr6jFqjONuFPra8sKRsMEBHFudc2lgst5+zsF4QOyxsYyKXiSh9Wy97PATNsH&#10;H+l+CqWIEPYZKqhCcJmUPq/IoB9aRxy9wrYGQ5RtKXWLjwg3jRwnSSoN1hwXKnS0qSi/nm5GwfbZ&#10;aZ+sZ2la/I93m+LgRvmfU2rQ79ZzEIG68A1/2nutYALvK/EG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49VrvwAAANoAAAAPAAAAAAAAAAAAAAAAAJgCAABkcnMvZG93bnJl&#10;di54bWxQSwUGAAAAAAQABAD1AAAAhAMAAAAA&#10;" fillcolor="#95b3d7" strokecolor="#4f81bd" strokeweight="1pt">
              <v:fill color2="#4f81bd" focus="50%" type="gradient"/>
              <v:shadow on="t" color="#243f60" offset="1pt"/>
              <v:textbox inset="2.23519mm,1.1176mm,2.23519mm,1.1176mm">
                <w:txbxContent>
                  <w:p w:rsidR="005D6E4A" w:rsidRPr="00252E02" w:rsidRDefault="005D6E4A" w:rsidP="00252E02">
                    <w:pPr>
                      <w:spacing w:before="360"/>
                      <w:jc w:val="center"/>
                      <w:rPr>
                        <w:b/>
                        <w:sz w:val="28"/>
                        <w:szCs w:val="32"/>
                      </w:rPr>
                    </w:pPr>
                    <w:r w:rsidRPr="00252E02">
                      <w:rPr>
                        <w:b/>
                        <w:sz w:val="28"/>
                        <w:szCs w:val="32"/>
                      </w:rPr>
                      <w:t>Arts Council</w:t>
                    </w:r>
                  </w:p>
                </w:txbxContent>
              </v:textbox>
            </v:oval>
            <v:oval id="Oval 923" o:spid="_x0000_s1029" style="position:absolute;left:6043;top:12581;width:13125;height:1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w8L8A&#10;AADaAAAADwAAAGRycy9kb3ducmV2LnhtbESPzYoCMRCE7wu+Q2jB25rRxUFHo4jgqkd/HqCZ9Pzg&#10;pBMmUce3N4Lgsaiqr6jFqjONuFPra8sKRsMEBHFudc2lgst5+zsF4QOyxsYyKXiSh9Wy97PATNsH&#10;H+l+CqWIEPYZKqhCcJmUPq/IoB9aRxy9wrYGQ5RtKXWLjwg3jRwnSSoN1hwXKnS0qSi/nm5GwfbZ&#10;aZ+sZ2la/I93m+LgRvmfU2rQ79ZzEIG68A1/2nutYALvK/EG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3DwvwAAANoAAAAPAAAAAAAAAAAAAAAAAJgCAABkcnMvZG93bnJl&#10;di54bWxQSwUGAAAAAAQABAD1AAAAhAMAAAAA&#10;" fillcolor="#95b3d7" strokecolor="#4f81bd" strokeweight="1pt">
              <v:fill color2="#4f81bd" focus="50%" type="gradient"/>
              <v:shadow on="t" color="#243f60" offset="1pt"/>
              <v:textbox inset="2.23519mm,1.1176mm,2.23519mm,1.1176mm">
                <w:txbxContent>
                  <w:p w:rsidR="005D6E4A" w:rsidRPr="00252E02" w:rsidRDefault="005D6E4A" w:rsidP="00252E02">
                    <w:pPr>
                      <w:rPr>
                        <w:sz w:val="19"/>
                      </w:rPr>
                    </w:pPr>
                  </w:p>
                  <w:p w:rsidR="005D6E4A" w:rsidRPr="00252E02" w:rsidRDefault="005D6E4A" w:rsidP="00252E02">
                    <w:pPr>
                      <w:spacing w:before="120"/>
                      <w:jc w:val="center"/>
                      <w:rPr>
                        <w:b/>
                        <w:sz w:val="21"/>
                      </w:rPr>
                    </w:pPr>
                    <w:r w:rsidRPr="00252E02">
                      <w:rPr>
                        <w:b/>
                        <w:sz w:val="21"/>
                      </w:rPr>
                      <w:t>Arts Board</w:t>
                    </w:r>
                  </w:p>
                </w:txbxContent>
              </v:textbox>
            </v:oval>
            <v:oval id="Oval 924" o:spid="_x0000_s1030" style="position:absolute;left:17969;top:32260;width:11360;height:10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uh78A&#10;AADaAAAADwAAAGRycy9kb3ducmV2LnhtbESP26rCMBRE3w/4D2ELvp2mKhStRhHB26OXD9g0uxds&#10;dkITtf69OXDAx2Fm1jDLdW9a8aTON5YVjJMUBHFhdcOVgtt19zsD4QOyxtYyKXiTh/Vq8LPEXNsX&#10;n+l5CZWIEPY5KqhDcLmUvqjJoE+sI45eaTuDIcqukrrDV4SbVk7SNJMGG44LNTra1lTcLw+jYPfu&#10;tU838ywr95PDtjy5cTF1So2G/WYBIlAfvuH/9lEryODvSrw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fe6HvwAAANoAAAAPAAAAAAAAAAAAAAAAAJgCAABkcnMvZG93bnJl&#10;di54bWxQSwUGAAAAAAQABAD1AAAAhAMAAAAA&#10;" fillcolor="#95b3d7" strokecolor="#4f81bd" strokeweight="1pt">
              <v:fill color2="#4f81bd" focus="50%" type="gradient"/>
              <v:shadow on="t" color="#243f60" offset="1pt"/>
              <v:textbox inset="2.23519mm,1.1176mm,2.23519mm,1.1176mm">
                <w:txbxContent>
                  <w:p w:rsidR="005D6E4A" w:rsidRPr="00252E02" w:rsidRDefault="005D6E4A" w:rsidP="00252E02">
                    <w:pPr>
                      <w:spacing w:before="360"/>
                      <w:jc w:val="center"/>
                      <w:rPr>
                        <w:sz w:val="16"/>
                        <w:szCs w:val="18"/>
                      </w:rPr>
                    </w:pPr>
                    <w:r w:rsidRPr="00252E02">
                      <w:rPr>
                        <w:sz w:val="16"/>
                        <w:szCs w:val="18"/>
                      </w:rPr>
                      <w:t>Management and staff</w:t>
                    </w:r>
                  </w:p>
                </w:txbxContent>
              </v:textbox>
            </v:oval>
            <v:oval id="Oval 925" o:spid="_x0000_s1031" style="position:absolute;left:28483;top:12581;width:13135;height:1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LHL8A&#10;AADaAAAADwAAAGRycy9kb3ducmV2LnhtbESPzYoCMRCE74LvEFrwtmZ0YVZHo4jgqkd/HqCZ9Pzg&#10;pBMmUce3N4Lgsaiqr6jFqjONuFPra8sKxqMEBHFudc2lgst5+zMF4QOyxsYyKXiSh9Wy31tgpu2D&#10;j3Q/hVJECPsMFVQhuExKn1dk0I+sI45eYVuDIcq2lLrFR4SbRk6SJJUGa44LFTraVJRfTzejYPvs&#10;tE/WszQt/ie7TXFw4/zXKTUcdOs5iEBd+IY/7b1W8AfvK/EG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MUscvwAAANoAAAAPAAAAAAAAAAAAAAAAAJgCAABkcnMvZG93bnJl&#10;di54bWxQSwUGAAAAAAQABAD1AAAAhAMAAAAA&#10;" fillcolor="#95b3d7" strokecolor="#4f81bd" strokeweight="1pt">
              <v:fill color2="#4f81bd" focus="50%" type="gradient"/>
              <v:shadow on="t" color="#243f60" offset="1pt"/>
              <v:textbox inset="2.23519mm,1.1176mm,2.23519mm,1.1176mm">
                <w:txbxContent>
                  <w:p w:rsidR="005D6E4A" w:rsidRPr="00252E02" w:rsidRDefault="005D6E4A" w:rsidP="00252E02">
                    <w:pPr>
                      <w:rPr>
                        <w:sz w:val="19"/>
                      </w:rPr>
                    </w:pPr>
                  </w:p>
                  <w:p w:rsidR="005D6E4A" w:rsidRPr="00252E02" w:rsidRDefault="005D6E4A" w:rsidP="00252E02">
                    <w:pPr>
                      <w:spacing w:before="120"/>
                      <w:jc w:val="center"/>
                      <w:rPr>
                        <w:b/>
                        <w:sz w:val="21"/>
                      </w:rPr>
                    </w:pPr>
                    <w:r w:rsidRPr="00252E02">
                      <w:rPr>
                        <w:b/>
                        <w:sz w:val="21"/>
                      </w:rPr>
                      <w:t>Te Waka Toi</w:t>
                    </w:r>
                  </w:p>
                </w:txbxContent>
              </v:textbox>
            </v:oval>
            <v:oval id="Oval 926" o:spid="_x0000_s1032" style="position:absolute;left:14860;top:168;width:18110;height:17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oval id="Oval 927" o:spid="_x0000_s1033" style="position:absolute;left:13863;top:168;width:19919;height:19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ve8QA&#10;AADbAAAADwAAAGRycy9kb3ducmV2LnhtbESP0WrCQBRE3wv+w3ILfRHdqFAkdSNFCPjSQpN8wDV7&#10;m6TN3g27G439+q4g+DjMzBlmt59ML87kfGdZwWqZgCCure64UVCV+WILwgdkjb1lUnAlD/ts9rTD&#10;VNsLf9G5CI2IEPYpKmhDGFIpfd2SQb+0A3H0vq0zGKJ0jdQOLxFuerlOkldpsOO40OJAh5bq32I0&#10;Ck5T9VO6orxWxz8eh/xz/nHI50q9PE/vbyACTeERvrePWsF6A7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73vEAAAA2wAAAA8AAAAAAAAAAAAAAAAAmAIAAGRycy9k&#10;b3ducmV2LnhtbFBLBQYAAAAABAAEAPUAAACJAwAAAAA=&#10;" filled="f" strokecolor="#a5a5a5" strokeweight="3pt"/>
            <v:oval id="Oval 928" o:spid="_x0000_s1034" style="position:absolute;left:44;top:28137;width:12291;height:1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hhMEA&#10;AADbAAAADwAAAGRycy9kb3ducmV2LnhtbESP3YrCMBSE74V9h3CEvdPULhS3a1pEUNdLfx7g0Jz+&#10;YHMSmqzWt98IgpfDzHzDrMrR9OJGg+8sK1jMExDEldUdNwou5+1sCcIHZI29ZVLwIA9l8TFZYa7t&#10;nY90O4VGRAj7HBW0IbhcSl+1ZNDPrSOOXm0HgyHKoZF6wHuEm16mSZJJgx3HhRYdbVqqrqc/o2D7&#10;GLVP1t9ZVu/S/aY+uEX15ZT6nI7rHxCBxvAOv9q/WkGawfNL/A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4YTBAAAA2wAAAA8AAAAAAAAAAAAAAAAAmAIAAGRycy9kb3du&#10;cmV2LnhtbFBLBQYAAAAABAAEAPUAAACGAwAAAAA=&#10;" fillcolor="#95b3d7" strokecolor="#4f81bd" strokeweight="1pt">
              <v:fill color2="#4f81bd" focus="50%" type="gradient"/>
              <v:shadow on="t" color="#243f60" offset="1pt"/>
              <v:textbox inset="2.23519mm,1.1176mm,2.23519mm,1.1176mm">
                <w:txbxContent>
                  <w:p w:rsidR="005D6E4A" w:rsidRPr="00252E02" w:rsidRDefault="005D6E4A" w:rsidP="00252E02">
                    <w:pPr>
                      <w:spacing w:before="120"/>
                      <w:jc w:val="center"/>
                      <w:rPr>
                        <w:b/>
                        <w:sz w:val="21"/>
                      </w:rPr>
                    </w:pPr>
                    <w:r w:rsidRPr="00252E02">
                      <w:rPr>
                        <w:b/>
                        <w:sz w:val="21"/>
                      </w:rPr>
                      <w:t>Pacific Arts Committee</w:t>
                    </w:r>
                  </w:p>
                </w:txbxContent>
              </v:textbox>
            </v:oval>
            <v:shapetype id="_x0000_t32" coordsize="21600,21600" o:spt="32" o:oned="t" path="m,l21600,21600e" filled="f">
              <v:path arrowok="t" fillok="f" o:connecttype="none"/>
              <o:lock v:ext="edit" shapetype="t"/>
            </v:shapetype>
            <v:shape id="AutoShape 929" o:spid="_x0000_s1035" type="#_x0000_t32" style="position:absolute;left:23223;top:16496;width:426;height:15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NiMQAAADbAAAADwAAAGRycy9kb3ducmV2LnhtbESP0WrCQBRE3wv+w3IF3+pGLSKpq1Sh&#10;xYeiJPoBt9nbJJi9u2Q3Gvv1XUHwcZiZM8xy3ZtGXKj1tWUFk3ECgriwuuZSwen4+boA4QOyxsYy&#10;KbiRh/Vq8LLEVNsrZ3TJQykihH2KCqoQXCqlLyoy6MfWEUfv17YGQ5RtKXWL1wg3jZwmyVwarDku&#10;VOhoW1FxzjujYB5c797226z7O3Q/m+/94Ss7S6VGw/7jHUSgPjzDj/ZOK5hN4P4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c2IxAAAANsAAAAPAAAAAAAAAAAA&#10;AAAAAKECAABkcnMvZG93bnJldi54bWxQSwUGAAAAAAQABAD5AAAAkgMAAAAA&#10;" strokecolor="#a5a5a5" strokeweight="2.25pt"/>
            <v:shape id="AutoShape 930" o:spid="_x0000_s1036" type="#_x0000_t32" style="position:absolute;left:23823;top:19437;width: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i7rMQAAADbAAAADwAAAGRycy9kb3ducmV2LnhtbESPT2sCMRTE7wW/Q3iFXopmXUHsahQR&#10;pL0VVy+9PTZv/9DNy5rEdeunbwTB4zAzv2FWm8G0oifnG8sKppMEBHFhdcOVgtNxP16A8AFZY2uZ&#10;FPyRh8169LLCTNsrH6jPQyUihH2GCuoQukxKX9Rk0E9sRxy90jqDIUpXSe3wGuGmlWmSzKXBhuNC&#10;jR3taip+84tRcPMupLv+PJTyln9c0vfyZ/v5rdTb67Bdggg0hGf40f7SCmYp3L/E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LusxAAAANsAAAAPAAAAAAAAAAAA&#10;AAAAAKECAABkcnMvZG93bnJldi54bWxQSwUGAAAAAAQABAD5AAAAkgMAAAAA&#10;" stroked="f"/>
            <v:shape id="AutoShape 931" o:spid="_x0000_s1037" type="#_x0000_t32" style="position:absolute;left:6190;top:23329;width:1775;height:48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8BsMAAADbAAAADwAAAGRycy9kb3ducmV2LnhtbESPT2vCQBTE7wW/w/IEL6Vuakqw0VWs&#10;WvDa6KW3R/Y1f/dtyK4mfnu3UOhxmJnfMOvtaFpxo95VlhW8ziMQxLnVFRcKLufPlyUI55E1tpZJ&#10;wZ0cbDeTpzWm2g78RbfMFyJA2KWooPS+S6V0eUkG3dx2xMH7sb1BH2RfSN3jEOCmlYsoSqTBisNC&#10;iR3tS8qb7GoUfMecJB+DyeL3xelwruXx+Fw3Ss2m424FwtPo/8N/7ZNWEL/B75fw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iPAbDAAAA2wAAAA8AAAAAAAAAAAAA&#10;AAAAoQIAAGRycy9kb3ducmV2LnhtbFBLBQYAAAAABAAEAPkAAACRAwAAAAA=&#10;" strokecolor="#bfbfbf" strokeweight="2.25pt"/>
            <w10:wrap type="none"/>
            <w10:anchorlock/>
          </v:group>
        </w:pict>
      </w:r>
      <w:r>
        <w:pict>
          <v:shape id="AutoShape 819" o:spid="_x0000_s1038" type="#_x0000_t32" style="position:absolute;left:0;text-align:left;margin-left:210.4pt;margin-top:177.05pt;width:0;height:9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" stroked="f"/>
        </w:pict>
      </w:r>
    </w:p>
    <w:p w:rsidR="00252E02" w:rsidRPr="006552E9" w:rsidRDefault="005D6E4A" w:rsidP="000D0FC6">
      <w:r>
        <w:pict>
          <v:shape id="Text Box 975" o:spid="_x0000_s1039" type="#_x0000_t202" style="position:absolute;left:0;text-align:left;margin-left:.2pt;margin-top:4.45pt;width:333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djfQIAAAk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" stroked="f">
            <v:textbox inset="0,0,0,0">
              <w:txbxContent>
                <w:p w:rsidR="005D6E4A" w:rsidRPr="00936FB8" w:rsidRDefault="005D6E4A" w:rsidP="000D0FC6">
                  <w:pPr>
                    <w:pStyle w:val="Caption"/>
                    <w:rPr>
                      <w:szCs w:val="24"/>
                    </w:rPr>
                  </w:pPr>
                  <w:bookmarkStart w:id="114" w:name="_Toc339284254"/>
                  <w:r>
                    <w:t xml:space="preserve">Figure </w:t>
                  </w:r>
                  <w:fldSimple w:instr=" SEQ Figure \* ARABIC ">
                    <w:r>
                      <w:rPr>
                        <w:noProof/>
                      </w:rPr>
                      <w:t>29</w:t>
                    </w:r>
                  </w:fldSimple>
                  <w:r>
                    <w:t>: Creative New Zealand structure</w:t>
                  </w:r>
                  <w:bookmarkEnd w:id="114"/>
                  <w:r>
                    <w:t>, 2012/13</w:t>
                  </w:r>
                </w:p>
              </w:txbxContent>
            </v:textbox>
          </v:shape>
        </w:pict>
      </w:r>
    </w:p>
    <w:p w:rsidR="002D7F5E" w:rsidRPr="006552E9" w:rsidRDefault="002D7F5E" w:rsidP="00E22C83">
      <w:pPr>
        <w:pStyle w:val="Style1"/>
      </w:pPr>
      <w:r w:rsidRPr="006552E9">
        <w:t>Planned changes to our governance structure</w:t>
      </w:r>
    </w:p>
    <w:p w:rsidR="002D7F5E" w:rsidRPr="006552E9" w:rsidRDefault="002D7F5E" w:rsidP="002D7F5E">
      <w:r w:rsidRPr="006552E9">
        <w:t xml:space="preserve">A </w:t>
      </w:r>
      <w:r w:rsidR="00514071" w:rsidRPr="006552E9">
        <w:t xml:space="preserve">government </w:t>
      </w:r>
      <w:r w:rsidRPr="006552E9">
        <w:t>bill that would streamline Creative New Zealand’s governance structure is</w:t>
      </w:r>
      <w:r w:rsidR="00E66483" w:rsidRPr="006552E9">
        <w:t>,</w:t>
      </w:r>
      <w:r w:rsidRPr="006552E9">
        <w:t xml:space="preserve"> </w:t>
      </w:r>
      <w:r w:rsidR="00E66483" w:rsidRPr="006552E9">
        <w:t xml:space="preserve">at the time of </w:t>
      </w:r>
      <w:r w:rsidR="00A77BD6" w:rsidRPr="006552E9">
        <w:t>publication</w:t>
      </w:r>
      <w:r w:rsidR="00E66483" w:rsidRPr="006552E9">
        <w:t xml:space="preserve">, </w:t>
      </w:r>
      <w:r w:rsidR="00925022" w:rsidRPr="006552E9">
        <w:t>before Parliament</w:t>
      </w:r>
      <w:r w:rsidR="009C6829" w:rsidRPr="006552E9">
        <w:t>.</w:t>
      </w:r>
      <w:r w:rsidR="00175E6D" w:rsidRPr="006552E9">
        <w:t xml:space="preserve"> </w:t>
      </w:r>
      <w:r w:rsidRPr="006552E9">
        <w:t>The changes are designed to improve our effectiveness and free up resources that would be better directed to artists</w:t>
      </w:r>
      <w:r w:rsidR="009C6829" w:rsidRPr="006552E9">
        <w:t>.</w:t>
      </w:r>
      <w:r w:rsidR="00175E6D" w:rsidRPr="006552E9">
        <w:t xml:space="preserve"> </w:t>
      </w:r>
    </w:p>
    <w:p w:rsidR="002D7F5E" w:rsidRPr="006552E9" w:rsidRDefault="00353CFA" w:rsidP="002D7F5E">
      <w:r w:rsidRPr="006552E9">
        <w:t xml:space="preserve">The </w:t>
      </w:r>
      <w:r w:rsidR="002D7F5E" w:rsidRPr="006552E9">
        <w:rPr>
          <w:rFonts w:cs="Arial"/>
          <w:bCs/>
        </w:rPr>
        <w:t xml:space="preserve">Arts Council of New Zealand Toi Aotearoa Bill </w:t>
      </w:r>
      <w:r w:rsidR="002D7F5E" w:rsidRPr="006552E9">
        <w:t>proposes to replace the Arts Council, Arts Board, Te Waka Toi and Pacific Arts Committee with a single governing board</w:t>
      </w:r>
      <w:r w:rsidR="00276088" w:rsidRPr="006552E9">
        <w:t xml:space="preserve"> that</w:t>
      </w:r>
      <w:r w:rsidR="002D7F5E" w:rsidRPr="006552E9">
        <w:t xml:space="preserve"> would be responsible for policy, strategy and allocating funding</w:t>
      </w:r>
      <w:r w:rsidR="009C6829" w:rsidRPr="006552E9">
        <w:t>.</w:t>
      </w:r>
      <w:r w:rsidR="00175E6D" w:rsidRPr="006552E9">
        <w:t xml:space="preserve"> </w:t>
      </w:r>
    </w:p>
    <w:p w:rsidR="002D7F5E" w:rsidRPr="006552E9" w:rsidRDefault="002D7F5E" w:rsidP="002D7F5E">
      <w:r w:rsidRPr="006552E9">
        <w:t>The new 13-member board would include at least four members representing Māori arts and at least two representing Pacific Island arts</w:t>
      </w:r>
      <w:r w:rsidR="009C6829" w:rsidRPr="006552E9">
        <w:t>.</w:t>
      </w:r>
      <w:r w:rsidR="00175E6D" w:rsidRPr="006552E9">
        <w:t xml:space="preserve"> </w:t>
      </w:r>
      <w:r w:rsidRPr="006552E9">
        <w:t>These members would each have knowledge of the artforms and cultural traditions of their respective communities</w:t>
      </w:r>
      <w:r w:rsidR="009C6829" w:rsidRPr="006552E9">
        <w:t>.</w:t>
      </w:r>
      <w:r w:rsidR="00175E6D" w:rsidRPr="006552E9">
        <w:t xml:space="preserve"> </w:t>
      </w:r>
    </w:p>
    <w:p w:rsidR="002D7F5E" w:rsidRPr="006552E9" w:rsidRDefault="002D7F5E" w:rsidP="002D7F5E">
      <w:r w:rsidRPr="006552E9">
        <w:t>These changes are not expected to significantly affect those in the arts sector who receive funding from us or who use our services.</w:t>
      </w:r>
    </w:p>
    <w:p w:rsidR="002D7F5E" w:rsidRPr="006552E9" w:rsidRDefault="002D7F5E" w:rsidP="00E22C83">
      <w:pPr>
        <w:pStyle w:val="Style1"/>
      </w:pPr>
      <w:r w:rsidRPr="006552E9">
        <w:t xml:space="preserve">Arts Council </w:t>
      </w:r>
    </w:p>
    <w:p w:rsidR="002D7F5E" w:rsidRPr="006552E9" w:rsidRDefault="002D7F5E" w:rsidP="002D7F5E">
      <w:r w:rsidRPr="006552E9">
        <w:t>The Arts Council of New Zealand Toi Aotearoa is the governing board of Creative New Zealand.</w:t>
      </w:r>
    </w:p>
    <w:p w:rsidR="002D7F5E" w:rsidRPr="006552E9" w:rsidRDefault="002D7F5E" w:rsidP="002D7F5E">
      <w:r w:rsidRPr="006552E9">
        <w:t>Members of the Arts Council are appointed by the Minister for Arts, Culture and Heritage</w:t>
      </w:r>
      <w:r w:rsidR="009C6829" w:rsidRPr="006552E9">
        <w:t>.</w:t>
      </w:r>
      <w:r w:rsidR="00175E6D" w:rsidRPr="006552E9">
        <w:t xml:space="preserve"> </w:t>
      </w:r>
      <w:r w:rsidRPr="006552E9">
        <w:t>The Minister must consult with the Minister of Māori Affairs before appointing Māori members.</w:t>
      </w:r>
    </w:p>
    <w:p w:rsidR="002D7F5E" w:rsidRPr="006552E9" w:rsidRDefault="002D7F5E" w:rsidP="002D7F5E">
      <w:r w:rsidRPr="006552E9">
        <w:t>The Arts Council is responsible for:</w:t>
      </w:r>
    </w:p>
    <w:p w:rsidR="002D7F5E" w:rsidRPr="006552E9" w:rsidRDefault="002D7F5E" w:rsidP="0064700A">
      <w:pPr>
        <w:pStyle w:val="Bullet"/>
      </w:pPr>
      <w:r w:rsidRPr="006552E9">
        <w:t xml:space="preserve">setting Creative New Zealand’s policy and strategic direction </w:t>
      </w:r>
    </w:p>
    <w:p w:rsidR="002D7F5E" w:rsidRPr="006552E9" w:rsidRDefault="002D7F5E" w:rsidP="0064700A">
      <w:pPr>
        <w:pStyle w:val="Bullet"/>
      </w:pPr>
      <w:r w:rsidRPr="006552E9">
        <w:t xml:space="preserve">allocating funding to the arts boards for them to invest </w:t>
      </w:r>
    </w:p>
    <w:p w:rsidR="002D7F5E" w:rsidRPr="006552E9" w:rsidRDefault="002D7F5E" w:rsidP="0064700A">
      <w:pPr>
        <w:pStyle w:val="Bullet"/>
      </w:pPr>
      <w:r w:rsidRPr="006552E9">
        <w:t xml:space="preserve">delivering funding in accordance with the allocation decisions of the arts boards </w:t>
      </w:r>
    </w:p>
    <w:p w:rsidR="002D7F5E" w:rsidRPr="006552E9" w:rsidRDefault="002D7F5E" w:rsidP="0064700A">
      <w:pPr>
        <w:pStyle w:val="Bullet"/>
      </w:pPr>
      <w:r w:rsidRPr="006552E9">
        <w:t>undertaking specific initiatives aimed at achieving its goals</w:t>
      </w:r>
      <w:r w:rsidR="009C6829" w:rsidRPr="006552E9">
        <w:t>.</w:t>
      </w:r>
      <w:r w:rsidR="00175E6D" w:rsidRPr="006552E9">
        <w:t xml:space="preserve"> </w:t>
      </w:r>
    </w:p>
    <w:p w:rsidR="002D7F5E" w:rsidRPr="006552E9" w:rsidRDefault="002D7F5E" w:rsidP="005F5618">
      <w:r w:rsidRPr="006552E9">
        <w:t>The Arts Council is also responsible for, and monitors, the overall performance of Creative New Zealand and the arts boards.</w:t>
      </w:r>
    </w:p>
    <w:p w:rsidR="002D7F5E" w:rsidRPr="006552E9" w:rsidRDefault="002D7F5E" w:rsidP="002D7F5E">
      <w:pPr>
        <w:pStyle w:val="Heading4"/>
      </w:pPr>
      <w:r w:rsidRPr="006552E9">
        <w:t>Functions of the Arts Council</w:t>
      </w:r>
    </w:p>
    <w:p w:rsidR="002D7F5E" w:rsidRPr="006552E9" w:rsidRDefault="002D7F5E" w:rsidP="002D7F5E">
      <w:r w:rsidRPr="006552E9">
        <w:t xml:space="preserve">The Act sets out the Arts Council’s </w:t>
      </w:r>
      <w:r w:rsidR="00514071" w:rsidRPr="006552E9">
        <w:t>main</w:t>
      </w:r>
      <w:r w:rsidRPr="006552E9">
        <w:t xml:space="preserve"> functions</w:t>
      </w:r>
      <w:r w:rsidRPr="006552E9">
        <w:rPr>
          <w:b/>
        </w:rPr>
        <w:t xml:space="preserve"> </w:t>
      </w:r>
      <w:r w:rsidRPr="006552E9">
        <w:t>in section 7</w:t>
      </w:r>
      <w:r w:rsidR="009C6829" w:rsidRPr="006552E9">
        <w:t>.</w:t>
      </w:r>
      <w:r w:rsidR="00175E6D" w:rsidRPr="006552E9">
        <w:t xml:space="preserve"> </w:t>
      </w:r>
      <w:r w:rsidRPr="006552E9">
        <w:t>They are to:</w:t>
      </w:r>
    </w:p>
    <w:p w:rsidR="002D7F5E" w:rsidRPr="006552E9" w:rsidRDefault="002D7F5E" w:rsidP="0064700A">
      <w:pPr>
        <w:pStyle w:val="Bullet"/>
      </w:pPr>
      <w:r w:rsidRPr="006552E9">
        <w:t>encourage, promote and support the arts in New Zealand for the benefit of all New Zealanders</w:t>
      </w:r>
    </w:p>
    <w:p w:rsidR="002D7F5E" w:rsidRPr="006552E9" w:rsidRDefault="002D7F5E" w:rsidP="0064700A">
      <w:pPr>
        <w:pStyle w:val="Bullet"/>
      </w:pPr>
      <w:r w:rsidRPr="006552E9">
        <w:t>recognise in the arts the role of Māori as tāngata whenua</w:t>
      </w:r>
    </w:p>
    <w:p w:rsidR="002D7F5E" w:rsidRPr="006552E9" w:rsidRDefault="002D7F5E" w:rsidP="0064700A">
      <w:pPr>
        <w:pStyle w:val="Bullet"/>
      </w:pPr>
      <w:r w:rsidRPr="006552E9">
        <w:t>promote the development of a New Zealand identity in the arts</w:t>
      </w:r>
    </w:p>
    <w:p w:rsidR="002D7F5E" w:rsidRPr="006552E9" w:rsidRDefault="002D7F5E" w:rsidP="0064700A">
      <w:pPr>
        <w:pStyle w:val="Bullet"/>
      </w:pPr>
      <w:r w:rsidRPr="006552E9">
        <w:t>encourage, promote and support the arts of the Pacific Islands’ peoples of New Zealand and the arts of New Zealand’s diverse cultures</w:t>
      </w:r>
    </w:p>
    <w:p w:rsidR="002D7F5E" w:rsidRPr="006552E9" w:rsidRDefault="002D7F5E" w:rsidP="0064700A">
      <w:pPr>
        <w:pStyle w:val="Bullet"/>
      </w:pPr>
      <w:r w:rsidRPr="006552E9">
        <w:t>determine the level of funding that should be available for each arts board to allocate</w:t>
      </w:r>
    </w:p>
    <w:p w:rsidR="002D7F5E" w:rsidRPr="006552E9" w:rsidRDefault="002D7F5E" w:rsidP="0064700A">
      <w:pPr>
        <w:pStyle w:val="Bullet"/>
      </w:pPr>
      <w:r w:rsidRPr="006552E9">
        <w:t>deliver funding in accordance with the allocation decisions of the arts boards</w:t>
      </w:r>
    </w:p>
    <w:p w:rsidR="002D7F5E" w:rsidRPr="006552E9" w:rsidRDefault="002D7F5E" w:rsidP="0064700A">
      <w:pPr>
        <w:pStyle w:val="Bullet"/>
      </w:pPr>
      <w:r w:rsidRPr="006552E9">
        <w:t>formulate policies for the direction of the arts boards</w:t>
      </w:r>
    </w:p>
    <w:p w:rsidR="002D7F5E" w:rsidRPr="006552E9" w:rsidRDefault="002D7F5E" w:rsidP="0064700A">
      <w:pPr>
        <w:pStyle w:val="Bullet"/>
      </w:pPr>
      <w:r w:rsidRPr="006552E9">
        <w:t>ensure that the arts boards encourage, promote and support professional and community arts</w:t>
      </w:r>
    </w:p>
    <w:p w:rsidR="002D7F5E" w:rsidRPr="006552E9" w:rsidRDefault="002D7F5E" w:rsidP="0064700A">
      <w:pPr>
        <w:pStyle w:val="Bullet"/>
      </w:pPr>
      <w:r w:rsidRPr="006552E9">
        <w:t>uphold and promote the rights of artists and the right to freedom in the practice of the arts</w:t>
      </w:r>
    </w:p>
    <w:p w:rsidR="002D7F5E" w:rsidRPr="006552E9" w:rsidRDefault="002D7F5E" w:rsidP="0064700A">
      <w:pPr>
        <w:pStyle w:val="Bullet"/>
      </w:pPr>
      <w:r w:rsidRPr="006552E9">
        <w:t>maintain relationships with other agencies and organisations</w:t>
      </w:r>
    </w:p>
    <w:p w:rsidR="002D7F5E" w:rsidRPr="006552E9" w:rsidRDefault="002D7F5E" w:rsidP="0064700A">
      <w:pPr>
        <w:pStyle w:val="Bullet"/>
      </w:pPr>
      <w:r w:rsidRPr="006552E9">
        <w:t>give advice to the Minister for Arts, Culture and Heritage on any matter relating to</w:t>
      </w:r>
      <w:r w:rsidR="00514071" w:rsidRPr="006552E9">
        <w:t>,</w:t>
      </w:r>
      <w:r w:rsidRPr="006552E9">
        <w:t xml:space="preserve"> or affecting</w:t>
      </w:r>
      <w:r w:rsidR="00514071" w:rsidRPr="006552E9">
        <w:t>,</w:t>
      </w:r>
      <w:r w:rsidRPr="006552E9">
        <w:t xml:space="preserve"> the Arts Council’s functions.</w:t>
      </w:r>
    </w:p>
    <w:p w:rsidR="002D7F5E" w:rsidRPr="006552E9" w:rsidRDefault="002D7F5E" w:rsidP="00850F78">
      <w:r w:rsidRPr="006552E9">
        <w:t>The Council carries out its statutory functions with funds provided by the Government through Vote: Arts, Culture and Heritage and the New Zealand Lottery Grants Board, and it is accountable to the responsible Minister</w:t>
      </w:r>
      <w:r w:rsidR="009C6829" w:rsidRPr="006552E9">
        <w:t>.</w:t>
      </w:r>
      <w:r w:rsidR="00175E6D" w:rsidRPr="006552E9">
        <w:t xml:space="preserve"> </w:t>
      </w:r>
      <w:r w:rsidR="007A7BB5" w:rsidRPr="006552E9">
        <w:t>It meets six times a year.</w:t>
      </w:r>
    </w:p>
    <w:p w:rsidR="002D7F5E" w:rsidRPr="006552E9" w:rsidRDefault="002D7F5E" w:rsidP="002D7F5E">
      <w:pPr>
        <w:pStyle w:val="Heading4"/>
      </w:pPr>
      <w:r w:rsidRPr="006552E9">
        <w:t>Committees of the Arts Council</w:t>
      </w:r>
    </w:p>
    <w:p w:rsidR="002D7F5E" w:rsidRPr="006552E9" w:rsidRDefault="002D7F5E" w:rsidP="002D7F5E">
      <w:r w:rsidRPr="006552E9">
        <w:t>There are three committees of the Arts Council that undertake work on its behalf: the Finance, Risk and Audit Committee, Chief Executive Performance Review Committee and Chairs’ Committee</w:t>
      </w:r>
      <w:r w:rsidR="009C6829" w:rsidRPr="006552E9">
        <w:t>.</w:t>
      </w:r>
      <w:r w:rsidR="00175E6D" w:rsidRPr="006552E9">
        <w:t xml:space="preserve"> </w:t>
      </w:r>
      <w:r w:rsidRPr="006552E9">
        <w:t>Their roles are outlined below</w:t>
      </w:r>
      <w:r w:rsidR="009C6829" w:rsidRPr="006552E9">
        <w:t>.</w:t>
      </w:r>
      <w:r w:rsidR="00175E6D" w:rsidRPr="006552E9">
        <w:t xml:space="preserve"> </w:t>
      </w:r>
    </w:p>
    <w:p w:rsidR="002D7F5E" w:rsidRPr="006552E9" w:rsidRDefault="002D7F5E" w:rsidP="00850F78">
      <w:r w:rsidRPr="006552E9">
        <w:t xml:space="preserve">The </w:t>
      </w:r>
      <w:r w:rsidRPr="006552E9">
        <w:rPr>
          <w:b/>
        </w:rPr>
        <w:t>Finance, Risk and Audit Committee</w:t>
      </w:r>
      <w:r w:rsidRPr="006552E9">
        <w:t xml:space="preserve"> meets </w:t>
      </w:r>
      <w:r w:rsidR="007A7BB5" w:rsidRPr="006552E9">
        <w:t>six times a year</w:t>
      </w:r>
      <w:r w:rsidRPr="006552E9">
        <w:t xml:space="preserve"> to ensure Creative New Zealand meets accounting and financial reporting standards, monitors risk, receives advice from auditors and makes recommendations to the Arts Council on financial policy.</w:t>
      </w:r>
    </w:p>
    <w:p w:rsidR="002D7F5E" w:rsidRPr="006552E9" w:rsidRDefault="002D7F5E" w:rsidP="00850F78">
      <w:r w:rsidRPr="006552E9">
        <w:t xml:space="preserve">The </w:t>
      </w:r>
      <w:r w:rsidRPr="006552E9">
        <w:rPr>
          <w:b/>
        </w:rPr>
        <w:t>Chief Executive Performance Review Committee</w:t>
      </w:r>
      <w:r w:rsidRPr="006552E9">
        <w:t xml:space="preserve"> meets as required to monitor the performance of the Chief Executive.</w:t>
      </w:r>
    </w:p>
    <w:p w:rsidR="002D7F5E" w:rsidRPr="006552E9" w:rsidRDefault="002D7F5E" w:rsidP="00850F78">
      <w:r w:rsidRPr="006552E9">
        <w:t xml:space="preserve">The </w:t>
      </w:r>
      <w:r w:rsidRPr="006552E9">
        <w:rPr>
          <w:b/>
        </w:rPr>
        <w:t>Chairs’ Committee</w:t>
      </w:r>
      <w:r w:rsidRPr="006552E9">
        <w:rPr>
          <w:b/>
          <w:i/>
        </w:rPr>
        <w:t xml:space="preserve"> </w:t>
      </w:r>
      <w:r w:rsidRPr="006552E9">
        <w:t>is advisory only</w:t>
      </w:r>
      <w:r w:rsidR="009C6829" w:rsidRPr="006552E9">
        <w:t>.</w:t>
      </w:r>
      <w:r w:rsidR="00175E6D" w:rsidRPr="006552E9">
        <w:t xml:space="preserve"> </w:t>
      </w:r>
      <w:r w:rsidR="00850F78" w:rsidRPr="006552E9">
        <w:t>It</w:t>
      </w:r>
      <w:r w:rsidRPr="006552E9">
        <w:t xml:space="preserve"> meets as required to advise the Arts Council Chair on the implementation of Council policy and delivery of organisational processes as they apply to the arts boards</w:t>
      </w:r>
      <w:r w:rsidR="00850F78" w:rsidRPr="006552E9">
        <w:t>,</w:t>
      </w:r>
      <w:r w:rsidRPr="006552E9">
        <w:t xml:space="preserve"> and to ensure communication between the Arts Council and arts boards</w:t>
      </w:r>
      <w:r w:rsidR="009C6829" w:rsidRPr="006552E9">
        <w:t>.</w:t>
      </w:r>
      <w:r w:rsidR="00175E6D" w:rsidRPr="006552E9">
        <w:t xml:space="preserve"> </w:t>
      </w:r>
      <w:r w:rsidRPr="006552E9">
        <w:t>In addition, the Chairs of the arts boards and Pacific Arts Committee attend meetings of the Arts Council.</w:t>
      </w:r>
    </w:p>
    <w:p w:rsidR="002D7F5E" w:rsidRPr="006552E9" w:rsidRDefault="002D7F5E" w:rsidP="00E22C83">
      <w:pPr>
        <w:pStyle w:val="Style1"/>
      </w:pPr>
      <w:r w:rsidRPr="006552E9">
        <w:t xml:space="preserve">Arts </w:t>
      </w:r>
      <w:r w:rsidR="00514071" w:rsidRPr="006552E9">
        <w:t>boards</w:t>
      </w:r>
    </w:p>
    <w:p w:rsidR="002D7F5E" w:rsidRPr="006552E9" w:rsidRDefault="002D7F5E" w:rsidP="002D7F5E">
      <w:r w:rsidRPr="006552E9">
        <w:t>The Act establishes two funding boards</w:t>
      </w:r>
      <w:r w:rsidR="00F82B3C">
        <w:t>:</w:t>
      </w:r>
      <w:r w:rsidRPr="006552E9">
        <w:t xml:space="preserve"> the Arts Board and Te Waka Toi</w:t>
      </w:r>
      <w:r w:rsidR="009C6829" w:rsidRPr="006552E9">
        <w:t>.</w:t>
      </w:r>
      <w:r w:rsidR="00175E6D" w:rsidRPr="006552E9">
        <w:t xml:space="preserve"> </w:t>
      </w:r>
      <w:r w:rsidRPr="006552E9">
        <w:t>The Act also establishes the Pacific Arts Committee as a committee of the Arts Board.</w:t>
      </w:r>
    </w:p>
    <w:p w:rsidR="002D7F5E" w:rsidRPr="006552E9" w:rsidRDefault="002D7F5E" w:rsidP="002D7F5E">
      <w:r w:rsidRPr="006552E9">
        <w:t>The members of the two arts boards are appointed by the Minister for Arts, Culture and Heritage</w:t>
      </w:r>
      <w:r w:rsidR="009C6829" w:rsidRPr="006552E9">
        <w:t>.</w:t>
      </w:r>
      <w:r w:rsidR="00175E6D" w:rsidRPr="006552E9">
        <w:t xml:space="preserve"> </w:t>
      </w:r>
      <w:r w:rsidRPr="006552E9">
        <w:t>The Minister consults with the Minister of Māori Affairs before appointing members to Te Waka Toi</w:t>
      </w:r>
      <w:r w:rsidR="009C6829" w:rsidRPr="006552E9">
        <w:t>.</w:t>
      </w:r>
      <w:r w:rsidR="00175E6D" w:rsidRPr="006552E9">
        <w:t xml:space="preserve"> </w:t>
      </w:r>
      <w:r w:rsidRPr="006552E9">
        <w:t>Members of the Pacific Arts Committee are appointed by the Arts Board</w:t>
      </w:r>
      <w:r w:rsidR="00F82B3C">
        <w:t>,</w:t>
      </w:r>
      <w:r w:rsidRPr="006552E9">
        <w:t xml:space="preserve"> and the committee is chaired by an Arts Board member.</w:t>
      </w:r>
    </w:p>
    <w:p w:rsidR="002D7F5E" w:rsidRPr="006552E9" w:rsidRDefault="002D7F5E" w:rsidP="002D7F5E">
      <w:r w:rsidRPr="006552E9">
        <w:t xml:space="preserve">Creative New Zealand’s Strategic Plan </w:t>
      </w:r>
      <w:r w:rsidR="005F5618" w:rsidRPr="006552E9">
        <w:t>2010–13</w:t>
      </w:r>
      <w:r w:rsidRPr="006552E9">
        <w:t xml:space="preserve"> provides direction for the arts boards.</w:t>
      </w:r>
    </w:p>
    <w:p w:rsidR="002D7F5E" w:rsidRPr="006552E9" w:rsidRDefault="002D7F5E" w:rsidP="002D7F5E">
      <w:pPr>
        <w:pStyle w:val="Heading4"/>
      </w:pPr>
      <w:r w:rsidRPr="006552E9">
        <w:t>Functions of the arts boards</w:t>
      </w:r>
    </w:p>
    <w:p w:rsidR="002D7F5E" w:rsidRPr="006552E9" w:rsidRDefault="002D7F5E" w:rsidP="002D7F5E">
      <w:r w:rsidRPr="006552E9">
        <w:t>The general functions of the arts boards reflect those of the Arts Council</w:t>
      </w:r>
      <w:r w:rsidR="009C6829" w:rsidRPr="006552E9">
        <w:t>.</w:t>
      </w:r>
      <w:r w:rsidR="00175E6D" w:rsidRPr="006552E9">
        <w:t xml:space="preserve"> </w:t>
      </w:r>
      <w:r w:rsidRPr="006552E9">
        <w:t xml:space="preserve">The boards are required to: </w:t>
      </w:r>
    </w:p>
    <w:p w:rsidR="002D7F5E" w:rsidRPr="006552E9" w:rsidRDefault="002D7F5E" w:rsidP="0064700A">
      <w:pPr>
        <w:pStyle w:val="Bullet"/>
      </w:pPr>
      <w:r w:rsidRPr="006552E9">
        <w:t>encourage, promote and support the arts in New Zealand for the benefit of all New Zealanders</w:t>
      </w:r>
    </w:p>
    <w:p w:rsidR="002D7F5E" w:rsidRPr="006552E9" w:rsidRDefault="002D7F5E" w:rsidP="0064700A">
      <w:pPr>
        <w:pStyle w:val="Bullet"/>
      </w:pPr>
      <w:r w:rsidRPr="006552E9">
        <w:t xml:space="preserve">recognise in the arts the role of Māori as tāngata whenua </w:t>
      </w:r>
    </w:p>
    <w:p w:rsidR="002D7F5E" w:rsidRPr="006552E9" w:rsidRDefault="002D7F5E" w:rsidP="0064700A">
      <w:pPr>
        <w:pStyle w:val="Bullet"/>
      </w:pPr>
      <w:r w:rsidRPr="006552E9">
        <w:t>promote the development of a New Zealand identity in the arts.</w:t>
      </w:r>
    </w:p>
    <w:p w:rsidR="002D7F5E" w:rsidRPr="006552E9" w:rsidRDefault="002D7F5E" w:rsidP="002D7F5E">
      <w:pPr>
        <w:rPr>
          <w:b/>
        </w:rPr>
      </w:pPr>
      <w:r w:rsidRPr="006552E9">
        <w:t>In carrying out those general functions, the arts boards have these specific functions:</w:t>
      </w:r>
    </w:p>
    <w:p w:rsidR="002D7F5E" w:rsidRPr="006552E9" w:rsidRDefault="002D7F5E" w:rsidP="0064700A">
      <w:pPr>
        <w:pStyle w:val="Bullet"/>
      </w:pPr>
      <w:r w:rsidRPr="006552E9">
        <w:t>to allocate available funding to arts projects for professional and communi</w:t>
      </w:r>
      <w:r w:rsidR="00514071" w:rsidRPr="006552E9">
        <w:t>ty arts</w:t>
      </w:r>
    </w:p>
    <w:p w:rsidR="002D7F5E" w:rsidRPr="006552E9" w:rsidRDefault="002D7F5E" w:rsidP="00514071">
      <w:pPr>
        <w:pStyle w:val="Bullet"/>
        <w:numPr>
          <w:ilvl w:val="0"/>
          <w:numId w:val="0"/>
        </w:numPr>
        <w:ind w:left="511"/>
      </w:pPr>
      <w:r w:rsidRPr="006552E9">
        <w:t>(The Arts Board allocates funding for the arts in New Zealand generally but also specifically for the arts of the Pacific peoples (through the Pacific Arts Committee) and for the diverse cultures of New Zealand</w:t>
      </w:r>
      <w:r w:rsidR="009C6829" w:rsidRPr="006552E9">
        <w:t>.</w:t>
      </w:r>
      <w:r w:rsidR="00175E6D" w:rsidRPr="006552E9">
        <w:t xml:space="preserve"> </w:t>
      </w:r>
      <w:r w:rsidRPr="006552E9">
        <w:t>Te Waka Toi allocates funding for Māori arts.)</w:t>
      </w:r>
    </w:p>
    <w:p w:rsidR="002D7F5E" w:rsidRPr="006552E9" w:rsidRDefault="002D7F5E" w:rsidP="0064700A">
      <w:pPr>
        <w:pStyle w:val="Bullet"/>
      </w:pPr>
      <w:r w:rsidRPr="006552E9">
        <w:t>to establish mechanisms for peer assessment and guidelines for allocating funding</w:t>
      </w:r>
    </w:p>
    <w:p w:rsidR="002D7F5E" w:rsidRPr="006552E9" w:rsidRDefault="002D7F5E" w:rsidP="0064700A">
      <w:pPr>
        <w:pStyle w:val="Bullet"/>
      </w:pPr>
      <w:r w:rsidRPr="006552E9">
        <w:t>to set guidelines for designated community arts providers</w:t>
      </w:r>
    </w:p>
    <w:p w:rsidR="002D7F5E" w:rsidRPr="006552E9" w:rsidRDefault="002D7F5E" w:rsidP="0064700A">
      <w:pPr>
        <w:pStyle w:val="Bullet"/>
      </w:pPr>
      <w:r w:rsidRPr="006552E9">
        <w:t>to ratify and monitor funding decisions</w:t>
      </w:r>
      <w:r w:rsidR="009C6829" w:rsidRPr="006552E9">
        <w:t>.</w:t>
      </w:r>
      <w:r w:rsidR="00175E6D" w:rsidRPr="006552E9">
        <w:t xml:space="preserve"> </w:t>
      </w:r>
    </w:p>
    <w:p w:rsidR="002D7F5E" w:rsidRPr="006552E9" w:rsidRDefault="002D7F5E" w:rsidP="0064700A">
      <w:r w:rsidRPr="006552E9">
        <w:t>The arts boards also:</w:t>
      </w:r>
    </w:p>
    <w:p w:rsidR="002D7F5E" w:rsidRPr="006552E9" w:rsidRDefault="002D7F5E" w:rsidP="0064700A">
      <w:pPr>
        <w:pStyle w:val="Bullet"/>
      </w:pPr>
      <w:r w:rsidRPr="006552E9">
        <w:t>make such inquiries, and provide the Arts Council with such reports, in connection with any matter referred by the Arts Council, as the Arts Council directs</w:t>
      </w:r>
    </w:p>
    <w:p w:rsidR="002D7F5E" w:rsidRPr="006552E9" w:rsidRDefault="002D7F5E" w:rsidP="0064700A">
      <w:pPr>
        <w:pStyle w:val="Bullet"/>
      </w:pPr>
      <w:r w:rsidRPr="006552E9">
        <w:t xml:space="preserve">perform such functions as may be delegated under section </w:t>
      </w:r>
      <w:hyperlink r:id="rId53" w:anchor="DLM330308" w:history="1">
        <w:r w:rsidRPr="006552E9">
          <w:t>73</w:t>
        </w:r>
      </w:hyperlink>
      <w:r w:rsidRPr="006552E9">
        <w:t xml:space="preserve"> of the </w:t>
      </w:r>
      <w:hyperlink r:id="rId54" w:anchor="DLM329630" w:history="1">
        <w:r w:rsidRPr="006552E9">
          <w:t>Crown Entities Act 2004</w:t>
        </w:r>
      </w:hyperlink>
    </w:p>
    <w:p w:rsidR="002D7F5E" w:rsidRPr="006552E9" w:rsidRDefault="002D7F5E" w:rsidP="0064700A">
      <w:pPr>
        <w:pStyle w:val="Bullet"/>
      </w:pPr>
      <w:r w:rsidRPr="006552E9">
        <w:t>keep the Arts Council fully informed of all activities in their area of responsibility</w:t>
      </w:r>
    </w:p>
    <w:p w:rsidR="00AE1ECD" w:rsidRPr="006552E9" w:rsidRDefault="002D7F5E" w:rsidP="00AE1ECD">
      <w:pPr>
        <w:pStyle w:val="Bullet"/>
        <w:spacing w:before="240"/>
      </w:pPr>
      <w:r w:rsidRPr="006552E9">
        <w:t xml:space="preserve">co-operate fully with and </w:t>
      </w:r>
      <w:r w:rsidR="00514071" w:rsidRPr="006552E9">
        <w:t>help</w:t>
      </w:r>
      <w:r w:rsidRPr="006552E9">
        <w:t xml:space="preserve"> the Arts Council and each other in the carrying out of their functions.</w:t>
      </w:r>
    </w:p>
    <w:p w:rsidR="002D7F5E" w:rsidRPr="006552E9" w:rsidRDefault="002D7F5E" w:rsidP="00E22C83">
      <w:pPr>
        <w:pStyle w:val="Style1"/>
        <w:ind w:left="0" w:firstLine="0"/>
      </w:pPr>
      <w:r w:rsidRPr="006552E9">
        <w:t>Membership of the Arts Council</w:t>
      </w:r>
      <w:r w:rsidR="00444EE1" w:rsidRPr="006552E9">
        <w:t>,</w:t>
      </w:r>
      <w:r w:rsidRPr="006552E9">
        <w:t xml:space="preserve"> </w:t>
      </w:r>
      <w:r w:rsidR="00514071" w:rsidRPr="006552E9">
        <w:t xml:space="preserve">arts boards </w:t>
      </w:r>
      <w:r w:rsidR="00444EE1" w:rsidRPr="006552E9">
        <w:t xml:space="preserve">and </w:t>
      </w:r>
      <w:r w:rsidRPr="006552E9">
        <w:t xml:space="preserve">Pacific Arts Committee </w:t>
      </w:r>
    </w:p>
    <w:p w:rsidR="002D7F5E" w:rsidRPr="006552E9" w:rsidRDefault="002D7F5E" w:rsidP="002D7F5E">
      <w:pPr>
        <w:spacing w:after="240"/>
      </w:pPr>
      <w:r w:rsidRPr="006552E9">
        <w:t xml:space="preserve">Membership of the Arts Council, </w:t>
      </w:r>
      <w:r w:rsidR="00514071" w:rsidRPr="006552E9">
        <w:t xml:space="preserve">arts </w:t>
      </w:r>
      <w:r w:rsidRPr="006552E9">
        <w:t>boards and Pacific Arts Committee as of 30 June 201</w:t>
      </w:r>
      <w:r w:rsidR="00D12AC4" w:rsidRPr="006552E9">
        <w:t>3</w:t>
      </w:r>
      <w:r w:rsidRPr="006552E9">
        <w:t xml:space="preserve"> is outlined below</w:t>
      </w:r>
      <w:r w:rsidR="009C6829" w:rsidRPr="006552E9">
        <w:t>.</w:t>
      </w:r>
      <w:r w:rsidR="00175E6D" w:rsidRPr="006552E9">
        <w:t xml:space="preserve"> </w:t>
      </w:r>
    </w:p>
    <w:p w:rsidR="002D7F5E" w:rsidRPr="006552E9" w:rsidRDefault="002D7F5E" w:rsidP="002D7F5E">
      <w:pPr>
        <w:spacing w:after="240"/>
      </w:pPr>
      <w:r w:rsidRPr="006552E9">
        <w:t xml:space="preserve">All of the members whose </w:t>
      </w:r>
      <w:r w:rsidR="00685C19" w:rsidRPr="006552E9">
        <w:t xml:space="preserve">terms </w:t>
      </w:r>
      <w:r w:rsidR="00A77BD6" w:rsidRPr="006552E9">
        <w:t xml:space="preserve">have </w:t>
      </w:r>
      <w:r w:rsidR="00685C19" w:rsidRPr="006552E9">
        <w:t xml:space="preserve">officially expired </w:t>
      </w:r>
      <w:r w:rsidRPr="006552E9">
        <w:t xml:space="preserve">have had their appointments rolled over </w:t>
      </w:r>
      <w:r w:rsidR="00535D5D">
        <w:t xml:space="preserve">under section 32 of the Crown Entities Act </w:t>
      </w:r>
      <w:r w:rsidRPr="006552E9">
        <w:t xml:space="preserve">pending the </w:t>
      </w:r>
      <w:r w:rsidR="005F5618" w:rsidRPr="006552E9">
        <w:t>passage</w:t>
      </w:r>
      <w:r w:rsidRPr="006552E9">
        <w:t xml:space="preserve"> of the Arts Council of New Zealand Toi Aotearoa Bill, which is</w:t>
      </w:r>
      <w:r w:rsidR="00514071" w:rsidRPr="006552E9">
        <w:t>, at the time of writing,</w:t>
      </w:r>
      <w:r w:rsidRPr="006552E9">
        <w:t xml:space="preserve"> before Parliament.</w:t>
      </w:r>
    </w:p>
    <w:tbl>
      <w:tblPr>
        <w:tblW w:w="49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45"/>
        <w:gridCol w:w="2836"/>
        <w:gridCol w:w="2832"/>
      </w:tblGrid>
      <w:tr w:rsidR="00E122E7" w:rsidRPr="006552E9" w:rsidTr="00B7178A">
        <w:trPr>
          <w:tblHeader/>
        </w:trPr>
        <w:tc>
          <w:tcPr>
            <w:tcW w:w="1924" w:type="pct"/>
          </w:tcPr>
          <w:p w:rsidR="00E122E7" w:rsidRPr="006552E9" w:rsidRDefault="00E122E7" w:rsidP="00E122E7">
            <w:pPr>
              <w:pStyle w:val="Tabletext"/>
              <w:rPr>
                <w:b/>
              </w:rPr>
            </w:pPr>
            <w:r w:rsidRPr="006552E9">
              <w:rPr>
                <w:b/>
              </w:rPr>
              <w:t>ARTS COUNCIL</w:t>
            </w:r>
          </w:p>
        </w:tc>
        <w:tc>
          <w:tcPr>
            <w:tcW w:w="1539" w:type="pct"/>
          </w:tcPr>
          <w:p w:rsidR="00E122E7" w:rsidRPr="006552E9" w:rsidRDefault="00E122E7" w:rsidP="00E122E7">
            <w:pPr>
              <w:pStyle w:val="Tabletext"/>
              <w:rPr>
                <w:b/>
              </w:rPr>
            </w:pPr>
            <w:r w:rsidRPr="006552E9">
              <w:rPr>
                <w:b/>
              </w:rPr>
              <w:t>Appointed</w:t>
            </w:r>
          </w:p>
        </w:tc>
        <w:tc>
          <w:tcPr>
            <w:tcW w:w="1537" w:type="pct"/>
          </w:tcPr>
          <w:p w:rsidR="00E122E7" w:rsidRPr="006552E9" w:rsidRDefault="00E122E7" w:rsidP="00E122E7">
            <w:pPr>
              <w:pStyle w:val="Tabletext"/>
              <w:rPr>
                <w:b/>
              </w:rPr>
            </w:pPr>
            <w:r w:rsidRPr="006552E9">
              <w:rPr>
                <w:b/>
              </w:rPr>
              <w:t>Current Term Expires</w:t>
            </w:r>
          </w:p>
        </w:tc>
      </w:tr>
      <w:tr w:rsidR="00E122E7" w:rsidRPr="006552E9" w:rsidTr="00B7178A">
        <w:trPr>
          <w:trHeight w:val="135"/>
        </w:trPr>
        <w:tc>
          <w:tcPr>
            <w:tcW w:w="1924" w:type="pct"/>
            <w:shd w:val="clear" w:color="auto" w:fill="auto"/>
          </w:tcPr>
          <w:p w:rsidR="00E122E7" w:rsidRPr="006552E9" w:rsidRDefault="00E122E7" w:rsidP="00E122E7">
            <w:pPr>
              <w:pStyle w:val="Tabletext"/>
            </w:pPr>
            <w:r w:rsidRPr="006552E9">
              <w:t>Dick Grant (Chair)</w:t>
            </w:r>
          </w:p>
          <w:p w:rsidR="00E122E7" w:rsidRPr="006552E9" w:rsidRDefault="00CC38E2" w:rsidP="00E122E7">
            <w:pPr>
              <w:pStyle w:val="Tabletext"/>
            </w:pPr>
            <w:r>
              <w:t>(</w:t>
            </w:r>
            <w:r w:rsidR="00E122E7" w:rsidRPr="006552E9">
              <w:t>From 1 April replacing Alastair Carruthers</w:t>
            </w:r>
            <w:r>
              <w:t>)</w:t>
            </w:r>
          </w:p>
        </w:tc>
        <w:tc>
          <w:tcPr>
            <w:tcW w:w="1539" w:type="pct"/>
          </w:tcPr>
          <w:p w:rsidR="00E122E7" w:rsidRPr="006552E9" w:rsidRDefault="00535D5D" w:rsidP="00E122E7">
            <w:pPr>
              <w:pStyle w:val="Tabletext"/>
            </w:pPr>
            <w:r>
              <w:t xml:space="preserve">1 April </w:t>
            </w:r>
            <w:r w:rsidR="00E122E7" w:rsidRPr="006552E9">
              <w:t xml:space="preserve">2013 as Chair </w:t>
            </w:r>
          </w:p>
          <w:p w:rsidR="00CC38E2" w:rsidRDefault="00CC38E2" w:rsidP="00E122E7">
            <w:pPr>
              <w:pStyle w:val="Tabletext"/>
            </w:pPr>
          </w:p>
          <w:p w:rsidR="00E122E7" w:rsidRPr="006552E9" w:rsidRDefault="00E122E7" w:rsidP="00E122E7">
            <w:pPr>
              <w:pStyle w:val="Tabletext"/>
            </w:pPr>
            <w:r w:rsidRPr="006552E9">
              <w:t>(July 2012 as member)</w:t>
            </w:r>
          </w:p>
        </w:tc>
        <w:tc>
          <w:tcPr>
            <w:tcW w:w="1537" w:type="pct"/>
            <w:shd w:val="clear" w:color="auto" w:fill="auto"/>
          </w:tcPr>
          <w:p w:rsidR="00E122E7" w:rsidRPr="006552E9" w:rsidRDefault="00E122E7" w:rsidP="00E122E7">
            <w:pPr>
              <w:pStyle w:val="Tabletext"/>
            </w:pPr>
            <w:r w:rsidRPr="006552E9">
              <w:t>31 December 2013</w:t>
            </w:r>
          </w:p>
        </w:tc>
      </w:tr>
      <w:tr w:rsidR="00E122E7" w:rsidRPr="006552E9" w:rsidTr="00B7178A">
        <w:tc>
          <w:tcPr>
            <w:tcW w:w="1924" w:type="pct"/>
          </w:tcPr>
          <w:p w:rsidR="00E122E7" w:rsidRPr="006552E9" w:rsidRDefault="00E122E7" w:rsidP="00E122E7">
            <w:pPr>
              <w:pStyle w:val="Tabletext"/>
            </w:pPr>
            <w:r w:rsidRPr="006552E9">
              <w:t>Erima Henare</w:t>
            </w:r>
          </w:p>
        </w:tc>
        <w:tc>
          <w:tcPr>
            <w:tcW w:w="1539" w:type="pct"/>
          </w:tcPr>
          <w:p w:rsidR="00E122E7" w:rsidRPr="006552E9" w:rsidRDefault="00E122E7" w:rsidP="00E122E7">
            <w:pPr>
              <w:pStyle w:val="Tabletext"/>
            </w:pPr>
            <w:r w:rsidRPr="006552E9">
              <w:t>1 July 2008</w:t>
            </w:r>
          </w:p>
        </w:tc>
        <w:tc>
          <w:tcPr>
            <w:tcW w:w="1537" w:type="pct"/>
          </w:tcPr>
          <w:p w:rsidR="00E122E7" w:rsidRPr="006552E9" w:rsidRDefault="00E122E7" w:rsidP="00E122E7">
            <w:pPr>
              <w:pStyle w:val="Tabletext"/>
            </w:pPr>
            <w:r w:rsidRPr="006552E9">
              <w:t>30 June 2011</w:t>
            </w:r>
          </w:p>
        </w:tc>
      </w:tr>
      <w:tr w:rsidR="00E122E7" w:rsidRPr="006552E9" w:rsidTr="00B7178A">
        <w:tc>
          <w:tcPr>
            <w:tcW w:w="1924" w:type="pct"/>
          </w:tcPr>
          <w:p w:rsidR="00E122E7" w:rsidRPr="006552E9" w:rsidRDefault="00E122E7" w:rsidP="00E122E7">
            <w:pPr>
              <w:pStyle w:val="Tabletext"/>
            </w:pPr>
            <w:r w:rsidRPr="006552E9">
              <w:t>Jimmy Wallace</w:t>
            </w:r>
          </w:p>
        </w:tc>
        <w:tc>
          <w:tcPr>
            <w:tcW w:w="1539" w:type="pct"/>
          </w:tcPr>
          <w:p w:rsidR="00E122E7" w:rsidRPr="006552E9" w:rsidRDefault="00E122E7" w:rsidP="00E122E7">
            <w:pPr>
              <w:pStyle w:val="Tabletext"/>
            </w:pPr>
            <w:r w:rsidRPr="006552E9">
              <w:t>1 July 2009</w:t>
            </w:r>
          </w:p>
        </w:tc>
        <w:tc>
          <w:tcPr>
            <w:tcW w:w="1537" w:type="pct"/>
          </w:tcPr>
          <w:p w:rsidR="00E122E7" w:rsidRPr="006552E9" w:rsidRDefault="00E122E7" w:rsidP="00E122E7">
            <w:pPr>
              <w:pStyle w:val="Tabletext"/>
            </w:pPr>
            <w:r w:rsidRPr="006552E9">
              <w:t>30 June 2012</w:t>
            </w:r>
          </w:p>
        </w:tc>
      </w:tr>
      <w:tr w:rsidR="00E122E7" w:rsidRPr="006552E9" w:rsidTr="00B7178A">
        <w:tc>
          <w:tcPr>
            <w:tcW w:w="1924" w:type="pct"/>
          </w:tcPr>
          <w:p w:rsidR="00E122E7" w:rsidRPr="006552E9" w:rsidRDefault="00E122E7" w:rsidP="00E122E7">
            <w:pPr>
              <w:pStyle w:val="Tabletext"/>
            </w:pPr>
            <w:r w:rsidRPr="006552E9">
              <w:t>Anne Rush</w:t>
            </w:r>
          </w:p>
        </w:tc>
        <w:tc>
          <w:tcPr>
            <w:tcW w:w="1539" w:type="pct"/>
          </w:tcPr>
          <w:p w:rsidR="00E122E7" w:rsidRPr="006552E9" w:rsidRDefault="00E122E7" w:rsidP="00E122E7">
            <w:pPr>
              <w:pStyle w:val="Tabletext"/>
            </w:pPr>
            <w:r w:rsidRPr="006552E9">
              <w:t>1 July 2009</w:t>
            </w:r>
          </w:p>
        </w:tc>
        <w:tc>
          <w:tcPr>
            <w:tcW w:w="1537" w:type="pct"/>
          </w:tcPr>
          <w:p w:rsidR="00E122E7" w:rsidRPr="006552E9" w:rsidRDefault="00E122E7" w:rsidP="00E122E7">
            <w:pPr>
              <w:pStyle w:val="Tabletext"/>
            </w:pPr>
            <w:r w:rsidRPr="006552E9">
              <w:t>30 June 2012</w:t>
            </w:r>
          </w:p>
        </w:tc>
      </w:tr>
      <w:tr w:rsidR="00E122E7" w:rsidRPr="006552E9" w:rsidTr="00B7178A">
        <w:tc>
          <w:tcPr>
            <w:tcW w:w="1924" w:type="pct"/>
          </w:tcPr>
          <w:p w:rsidR="00E122E7" w:rsidRPr="006552E9" w:rsidRDefault="00E122E7" w:rsidP="00E122E7">
            <w:pPr>
              <w:pStyle w:val="Tabletext"/>
            </w:pPr>
            <w:r w:rsidRPr="006552E9">
              <w:t>Helen Kedgley</w:t>
            </w:r>
          </w:p>
        </w:tc>
        <w:tc>
          <w:tcPr>
            <w:tcW w:w="1539" w:type="pct"/>
          </w:tcPr>
          <w:p w:rsidR="00E122E7" w:rsidRPr="006552E9" w:rsidRDefault="00E122E7" w:rsidP="00E122E7">
            <w:pPr>
              <w:pStyle w:val="Tabletext"/>
            </w:pPr>
            <w:r w:rsidRPr="006552E9">
              <w:t>1 November 2009</w:t>
            </w:r>
          </w:p>
        </w:tc>
        <w:tc>
          <w:tcPr>
            <w:tcW w:w="1537" w:type="pct"/>
          </w:tcPr>
          <w:p w:rsidR="00E122E7" w:rsidRPr="006552E9" w:rsidRDefault="00E122E7" w:rsidP="00E122E7">
            <w:pPr>
              <w:pStyle w:val="Tabletext"/>
            </w:pPr>
            <w:r w:rsidRPr="006552E9">
              <w:t>31 October 2012</w:t>
            </w:r>
          </w:p>
        </w:tc>
      </w:tr>
      <w:tr w:rsidR="00E122E7" w:rsidRPr="006552E9" w:rsidTr="00B7178A">
        <w:tc>
          <w:tcPr>
            <w:tcW w:w="1924" w:type="pct"/>
          </w:tcPr>
          <w:p w:rsidR="00E122E7" w:rsidRPr="006552E9" w:rsidRDefault="00E122E7" w:rsidP="00E122E7">
            <w:pPr>
              <w:pStyle w:val="Tabletext"/>
            </w:pPr>
            <w:r w:rsidRPr="006552E9">
              <w:t>Professor John Davidson</w:t>
            </w:r>
          </w:p>
        </w:tc>
        <w:tc>
          <w:tcPr>
            <w:tcW w:w="1539" w:type="pct"/>
          </w:tcPr>
          <w:p w:rsidR="00E122E7" w:rsidRPr="006552E9" w:rsidRDefault="00E122E7" w:rsidP="00E122E7">
            <w:pPr>
              <w:pStyle w:val="Tabletext"/>
            </w:pPr>
            <w:r w:rsidRPr="006552E9">
              <w:t>1 July 2010</w:t>
            </w:r>
          </w:p>
        </w:tc>
        <w:tc>
          <w:tcPr>
            <w:tcW w:w="1537" w:type="pct"/>
          </w:tcPr>
          <w:p w:rsidR="00E122E7" w:rsidRPr="006552E9" w:rsidRDefault="00E122E7" w:rsidP="00E122E7">
            <w:pPr>
              <w:pStyle w:val="Tabletext"/>
            </w:pPr>
            <w:r w:rsidRPr="006552E9">
              <w:t>30 June 2013</w:t>
            </w:r>
          </w:p>
        </w:tc>
      </w:tr>
      <w:tr w:rsidR="00E122E7" w:rsidRPr="006552E9" w:rsidTr="00B7178A">
        <w:tc>
          <w:tcPr>
            <w:tcW w:w="1924" w:type="pct"/>
          </w:tcPr>
          <w:p w:rsidR="00E122E7" w:rsidRPr="006552E9" w:rsidRDefault="00E122E7" w:rsidP="00E122E7">
            <w:pPr>
              <w:pStyle w:val="Tabletext"/>
            </w:pPr>
            <w:r w:rsidRPr="006552E9">
              <w:t>Vacancy</w:t>
            </w:r>
          </w:p>
        </w:tc>
        <w:tc>
          <w:tcPr>
            <w:tcW w:w="1539" w:type="pct"/>
          </w:tcPr>
          <w:p w:rsidR="00E122E7" w:rsidRPr="006552E9" w:rsidRDefault="00E122E7" w:rsidP="00E122E7">
            <w:pPr>
              <w:pStyle w:val="Tabletext"/>
            </w:pPr>
          </w:p>
        </w:tc>
        <w:tc>
          <w:tcPr>
            <w:tcW w:w="1537" w:type="pct"/>
          </w:tcPr>
          <w:p w:rsidR="00E122E7" w:rsidRPr="006552E9" w:rsidRDefault="00E122E7" w:rsidP="00E122E7">
            <w:pPr>
              <w:pStyle w:val="Tabletext"/>
            </w:pPr>
          </w:p>
        </w:tc>
      </w:tr>
    </w:tbl>
    <w:p w:rsidR="003A39F1" w:rsidRPr="006552E9" w:rsidRDefault="003A39F1"/>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47"/>
        <w:gridCol w:w="2835"/>
        <w:gridCol w:w="2806"/>
      </w:tblGrid>
      <w:tr w:rsidR="002D7F5E" w:rsidRPr="006552E9" w:rsidTr="00F82B3C">
        <w:trPr>
          <w:tblHeader/>
        </w:trPr>
        <w:tc>
          <w:tcPr>
            <w:tcW w:w="1930" w:type="pct"/>
          </w:tcPr>
          <w:p w:rsidR="002D7F5E" w:rsidRPr="006552E9" w:rsidRDefault="002D7F5E" w:rsidP="00AD0687">
            <w:pPr>
              <w:pStyle w:val="Tabletext"/>
              <w:rPr>
                <w:b/>
              </w:rPr>
            </w:pPr>
            <w:r w:rsidRPr="006552E9">
              <w:rPr>
                <w:b/>
              </w:rPr>
              <w:t>ARTS BOARD</w:t>
            </w:r>
          </w:p>
        </w:tc>
        <w:tc>
          <w:tcPr>
            <w:tcW w:w="1543" w:type="pct"/>
          </w:tcPr>
          <w:p w:rsidR="002D7F5E" w:rsidRPr="006552E9" w:rsidRDefault="002D7F5E" w:rsidP="00AD0687">
            <w:pPr>
              <w:pStyle w:val="Tabletext"/>
              <w:rPr>
                <w:b/>
              </w:rPr>
            </w:pPr>
            <w:r w:rsidRPr="006552E9">
              <w:rPr>
                <w:b/>
              </w:rPr>
              <w:t>Appointed</w:t>
            </w:r>
          </w:p>
        </w:tc>
        <w:tc>
          <w:tcPr>
            <w:tcW w:w="1527" w:type="pct"/>
          </w:tcPr>
          <w:p w:rsidR="002D7F5E" w:rsidRPr="006552E9" w:rsidRDefault="002D7F5E" w:rsidP="00AD0687">
            <w:pPr>
              <w:pStyle w:val="Tabletext"/>
              <w:rPr>
                <w:b/>
              </w:rPr>
            </w:pPr>
            <w:r w:rsidRPr="006552E9">
              <w:rPr>
                <w:b/>
              </w:rPr>
              <w:t>Current term expires</w:t>
            </w:r>
          </w:p>
        </w:tc>
      </w:tr>
      <w:tr w:rsidR="002D7F5E" w:rsidRPr="006552E9" w:rsidTr="00F82B3C">
        <w:tc>
          <w:tcPr>
            <w:tcW w:w="1930" w:type="pct"/>
          </w:tcPr>
          <w:p w:rsidR="002D7F5E" w:rsidRPr="006552E9" w:rsidRDefault="00685C19" w:rsidP="00AD0687">
            <w:pPr>
              <w:pStyle w:val="Tabletext"/>
            </w:pPr>
            <w:r w:rsidRPr="006552E9">
              <w:t>Alan Sorrell (Chair)</w:t>
            </w:r>
          </w:p>
        </w:tc>
        <w:tc>
          <w:tcPr>
            <w:tcW w:w="1543" w:type="pct"/>
          </w:tcPr>
          <w:p w:rsidR="002D7F5E" w:rsidRPr="006552E9" w:rsidRDefault="002D7F5E" w:rsidP="00AD0687">
            <w:pPr>
              <w:pStyle w:val="Tabletext"/>
            </w:pPr>
            <w:r w:rsidRPr="006552E9">
              <w:t>1 July 2007</w:t>
            </w:r>
          </w:p>
        </w:tc>
        <w:tc>
          <w:tcPr>
            <w:tcW w:w="1527" w:type="pct"/>
          </w:tcPr>
          <w:p w:rsidR="002D7F5E" w:rsidRPr="006552E9" w:rsidRDefault="002D7F5E" w:rsidP="00AD0687">
            <w:pPr>
              <w:pStyle w:val="Tabletext"/>
            </w:pPr>
            <w:r w:rsidRPr="006552E9">
              <w:t>30 June 2011</w:t>
            </w:r>
          </w:p>
        </w:tc>
      </w:tr>
      <w:tr w:rsidR="002D7F5E" w:rsidRPr="006552E9" w:rsidTr="00F82B3C">
        <w:tc>
          <w:tcPr>
            <w:tcW w:w="1930" w:type="pct"/>
          </w:tcPr>
          <w:p w:rsidR="002D7F5E" w:rsidRPr="006552E9" w:rsidRDefault="00685C19" w:rsidP="00AD0687">
            <w:pPr>
              <w:pStyle w:val="Tabletext"/>
            </w:pPr>
            <w:r w:rsidRPr="006552E9">
              <w:t>Terry Snow</w:t>
            </w:r>
          </w:p>
        </w:tc>
        <w:tc>
          <w:tcPr>
            <w:tcW w:w="1543" w:type="pct"/>
          </w:tcPr>
          <w:p w:rsidR="002D7F5E" w:rsidRPr="006552E9" w:rsidRDefault="002D7F5E" w:rsidP="00AD0687">
            <w:pPr>
              <w:pStyle w:val="Tabletext"/>
            </w:pPr>
            <w:r w:rsidRPr="006552E9">
              <w:t>1 June 2005</w:t>
            </w:r>
          </w:p>
        </w:tc>
        <w:tc>
          <w:tcPr>
            <w:tcW w:w="1527" w:type="pct"/>
          </w:tcPr>
          <w:p w:rsidR="002D7F5E" w:rsidRPr="006552E9" w:rsidRDefault="002D7F5E" w:rsidP="00AD0687">
            <w:pPr>
              <w:pStyle w:val="Tabletext"/>
            </w:pPr>
            <w:r w:rsidRPr="006552E9">
              <w:t>30 June 2011</w:t>
            </w:r>
          </w:p>
        </w:tc>
      </w:tr>
      <w:tr w:rsidR="002D7F5E" w:rsidRPr="006552E9" w:rsidTr="00F82B3C">
        <w:tc>
          <w:tcPr>
            <w:tcW w:w="1930" w:type="pct"/>
          </w:tcPr>
          <w:p w:rsidR="002D7F5E" w:rsidRPr="006552E9" w:rsidRDefault="002D7F5E" w:rsidP="00AD0687">
            <w:pPr>
              <w:pStyle w:val="Tabletext"/>
            </w:pPr>
            <w:r w:rsidRPr="006552E9">
              <w:t>Michael Prentice</w:t>
            </w:r>
          </w:p>
        </w:tc>
        <w:tc>
          <w:tcPr>
            <w:tcW w:w="1543" w:type="pct"/>
          </w:tcPr>
          <w:p w:rsidR="002D7F5E" w:rsidRPr="006552E9" w:rsidRDefault="002D7F5E" w:rsidP="00AD0687">
            <w:pPr>
              <w:pStyle w:val="Tabletext"/>
            </w:pPr>
            <w:r w:rsidRPr="006552E9">
              <w:t>1 July 2006</w:t>
            </w:r>
          </w:p>
        </w:tc>
        <w:tc>
          <w:tcPr>
            <w:tcW w:w="1527" w:type="pct"/>
          </w:tcPr>
          <w:p w:rsidR="002D7F5E" w:rsidRPr="006552E9" w:rsidRDefault="002D7F5E" w:rsidP="00AD0687">
            <w:pPr>
              <w:pStyle w:val="Tabletext"/>
            </w:pPr>
            <w:r w:rsidRPr="006552E9">
              <w:t>30 June 2012</w:t>
            </w:r>
          </w:p>
        </w:tc>
      </w:tr>
      <w:tr w:rsidR="002D7F5E" w:rsidRPr="006552E9" w:rsidTr="00F82B3C">
        <w:tc>
          <w:tcPr>
            <w:tcW w:w="1930" w:type="pct"/>
          </w:tcPr>
          <w:p w:rsidR="002D7F5E" w:rsidRPr="006552E9" w:rsidRDefault="002D7F5E" w:rsidP="00AD0687">
            <w:pPr>
              <w:pStyle w:val="Tabletext"/>
            </w:pPr>
            <w:r w:rsidRPr="006552E9">
              <w:t>Nandor Tanczos</w:t>
            </w:r>
          </w:p>
        </w:tc>
        <w:tc>
          <w:tcPr>
            <w:tcW w:w="1543" w:type="pct"/>
          </w:tcPr>
          <w:p w:rsidR="002D7F5E" w:rsidRPr="006552E9" w:rsidRDefault="002D7F5E" w:rsidP="00AD0687">
            <w:pPr>
              <w:pStyle w:val="Tabletext"/>
            </w:pPr>
            <w:r w:rsidRPr="006552E9">
              <w:t>1 July 2009</w:t>
            </w:r>
          </w:p>
        </w:tc>
        <w:tc>
          <w:tcPr>
            <w:tcW w:w="1527" w:type="pct"/>
          </w:tcPr>
          <w:p w:rsidR="002D7F5E" w:rsidRPr="006552E9" w:rsidRDefault="002D7F5E" w:rsidP="00AD0687">
            <w:pPr>
              <w:pStyle w:val="Tabletext"/>
            </w:pPr>
            <w:r w:rsidRPr="006552E9">
              <w:t>30 June 2012</w:t>
            </w:r>
          </w:p>
        </w:tc>
      </w:tr>
      <w:tr w:rsidR="002D7F5E" w:rsidRPr="006552E9" w:rsidTr="00F82B3C">
        <w:tc>
          <w:tcPr>
            <w:tcW w:w="1930" w:type="pct"/>
          </w:tcPr>
          <w:p w:rsidR="002D7F5E" w:rsidRPr="006552E9" w:rsidRDefault="00685C19" w:rsidP="00AD0687">
            <w:pPr>
              <w:pStyle w:val="Tabletext"/>
            </w:pPr>
            <w:r w:rsidRPr="006552E9">
              <w:t>Jocelyn Afford</w:t>
            </w:r>
          </w:p>
        </w:tc>
        <w:tc>
          <w:tcPr>
            <w:tcW w:w="1543" w:type="pct"/>
          </w:tcPr>
          <w:p w:rsidR="002D7F5E" w:rsidRPr="006552E9" w:rsidRDefault="002D7F5E" w:rsidP="00AD0687">
            <w:pPr>
              <w:pStyle w:val="Tabletext"/>
            </w:pPr>
            <w:r w:rsidRPr="006552E9">
              <w:t>1 July 2010</w:t>
            </w:r>
          </w:p>
        </w:tc>
        <w:tc>
          <w:tcPr>
            <w:tcW w:w="1527" w:type="pct"/>
          </w:tcPr>
          <w:p w:rsidR="002D7F5E" w:rsidRPr="006552E9" w:rsidRDefault="002D7F5E" w:rsidP="00AD0687">
            <w:pPr>
              <w:pStyle w:val="Tabletext"/>
            </w:pPr>
            <w:r w:rsidRPr="006552E9">
              <w:t>30 June 2011</w:t>
            </w:r>
          </w:p>
        </w:tc>
      </w:tr>
      <w:tr w:rsidR="002D7F5E" w:rsidRPr="006552E9" w:rsidTr="00F82B3C">
        <w:tc>
          <w:tcPr>
            <w:tcW w:w="1930" w:type="pct"/>
          </w:tcPr>
          <w:p w:rsidR="002D7F5E" w:rsidRPr="006552E9" w:rsidRDefault="00685C19" w:rsidP="00AD0687">
            <w:pPr>
              <w:pStyle w:val="Tabletext"/>
            </w:pPr>
            <w:r w:rsidRPr="006552E9">
              <w:t>Anne Rush</w:t>
            </w:r>
          </w:p>
        </w:tc>
        <w:tc>
          <w:tcPr>
            <w:tcW w:w="1543" w:type="pct"/>
          </w:tcPr>
          <w:p w:rsidR="002D7F5E" w:rsidRPr="006552E9" w:rsidRDefault="002D7F5E" w:rsidP="00AD0687">
            <w:pPr>
              <w:pStyle w:val="Tabletext"/>
            </w:pPr>
            <w:r w:rsidRPr="006552E9">
              <w:t>1 July 2010</w:t>
            </w:r>
          </w:p>
        </w:tc>
        <w:tc>
          <w:tcPr>
            <w:tcW w:w="1527" w:type="pct"/>
          </w:tcPr>
          <w:p w:rsidR="002D7F5E" w:rsidRPr="006552E9" w:rsidRDefault="002D7F5E" w:rsidP="00AD0687">
            <w:pPr>
              <w:pStyle w:val="Tabletext"/>
            </w:pPr>
            <w:r w:rsidRPr="006552E9">
              <w:t>30 June 2011</w:t>
            </w:r>
          </w:p>
        </w:tc>
      </w:tr>
      <w:tr w:rsidR="00F82B3C" w:rsidRPr="006552E9" w:rsidTr="00F82B3C">
        <w:tc>
          <w:tcPr>
            <w:tcW w:w="1930" w:type="pct"/>
          </w:tcPr>
          <w:p w:rsidR="00F82B3C" w:rsidRPr="006552E9" w:rsidRDefault="00F82B3C" w:rsidP="00DE3684">
            <w:pPr>
              <w:pStyle w:val="Tabletext"/>
            </w:pPr>
            <w:r w:rsidRPr="006552E9">
              <w:t>Associate Professor Hon Luamanuvao Winnie Laban</w:t>
            </w:r>
          </w:p>
        </w:tc>
        <w:tc>
          <w:tcPr>
            <w:tcW w:w="1543" w:type="pct"/>
          </w:tcPr>
          <w:p w:rsidR="00F82B3C" w:rsidRPr="006552E9" w:rsidRDefault="00F82B3C" w:rsidP="00DE3684">
            <w:pPr>
              <w:pStyle w:val="Tabletext"/>
            </w:pPr>
            <w:r w:rsidRPr="006552E9">
              <w:t>1 March 2013</w:t>
            </w:r>
          </w:p>
        </w:tc>
        <w:tc>
          <w:tcPr>
            <w:tcW w:w="1527" w:type="pct"/>
          </w:tcPr>
          <w:p w:rsidR="00F82B3C" w:rsidRPr="006552E9" w:rsidRDefault="00F82B3C" w:rsidP="00DE3684">
            <w:pPr>
              <w:pStyle w:val="Tabletext"/>
            </w:pPr>
            <w:r w:rsidRPr="006552E9">
              <w:t>31 December 2013</w:t>
            </w:r>
          </w:p>
        </w:tc>
      </w:tr>
    </w:tbl>
    <w:p w:rsidR="002D7F5E" w:rsidRPr="006552E9" w:rsidRDefault="002D7F5E" w:rsidP="00F82B3C">
      <w:pPr>
        <w:ind w:left="720" w:hanging="720"/>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43"/>
        <w:gridCol w:w="2836"/>
        <w:gridCol w:w="2792"/>
      </w:tblGrid>
      <w:tr w:rsidR="002D7F5E" w:rsidRPr="006552E9" w:rsidTr="00B7178A">
        <w:trPr>
          <w:tblHeader/>
        </w:trPr>
        <w:tc>
          <w:tcPr>
            <w:tcW w:w="1932" w:type="pct"/>
          </w:tcPr>
          <w:p w:rsidR="002D7F5E" w:rsidRPr="006552E9" w:rsidRDefault="002D7F5E" w:rsidP="00AD0687">
            <w:pPr>
              <w:pStyle w:val="Tabletext"/>
              <w:rPr>
                <w:b/>
              </w:rPr>
            </w:pPr>
            <w:r w:rsidRPr="006552E9">
              <w:rPr>
                <w:b/>
              </w:rPr>
              <w:t xml:space="preserve">TE WAKA TOI </w:t>
            </w:r>
          </w:p>
        </w:tc>
        <w:tc>
          <w:tcPr>
            <w:tcW w:w="1546" w:type="pct"/>
          </w:tcPr>
          <w:p w:rsidR="002D7F5E" w:rsidRPr="006552E9" w:rsidRDefault="002D7F5E" w:rsidP="00AD0687">
            <w:pPr>
              <w:pStyle w:val="Tabletext"/>
              <w:rPr>
                <w:b/>
              </w:rPr>
            </w:pPr>
            <w:r w:rsidRPr="006552E9">
              <w:rPr>
                <w:b/>
              </w:rPr>
              <w:t>Appointed</w:t>
            </w:r>
          </w:p>
        </w:tc>
        <w:tc>
          <w:tcPr>
            <w:tcW w:w="1522" w:type="pct"/>
          </w:tcPr>
          <w:p w:rsidR="002D7F5E" w:rsidRPr="006552E9" w:rsidRDefault="002D7F5E" w:rsidP="00AD0687">
            <w:pPr>
              <w:pStyle w:val="Tabletext"/>
              <w:rPr>
                <w:b/>
              </w:rPr>
            </w:pPr>
            <w:r w:rsidRPr="006552E9">
              <w:rPr>
                <w:b/>
              </w:rPr>
              <w:t>Current term expires</w:t>
            </w:r>
          </w:p>
        </w:tc>
      </w:tr>
      <w:tr w:rsidR="002D7F5E" w:rsidRPr="006552E9" w:rsidTr="00B7178A">
        <w:tc>
          <w:tcPr>
            <w:tcW w:w="1932" w:type="pct"/>
          </w:tcPr>
          <w:p w:rsidR="002D7F5E" w:rsidRPr="006552E9" w:rsidRDefault="00EE52B9" w:rsidP="00AD0687">
            <w:pPr>
              <w:pStyle w:val="Tabletext"/>
            </w:pPr>
            <w:r w:rsidRPr="006552E9">
              <w:t>Darrin Haimo</w:t>
            </w:r>
            <w:r w:rsidR="002D7F5E" w:rsidRPr="006552E9">
              <w:t>na (Chair)</w:t>
            </w:r>
          </w:p>
        </w:tc>
        <w:tc>
          <w:tcPr>
            <w:tcW w:w="1546" w:type="pct"/>
          </w:tcPr>
          <w:p w:rsidR="002D7F5E" w:rsidRPr="006552E9" w:rsidRDefault="002D7F5E" w:rsidP="00AD0687">
            <w:pPr>
              <w:pStyle w:val="Tabletext"/>
            </w:pPr>
            <w:r w:rsidRPr="006552E9">
              <w:t>1 July 2006</w:t>
            </w:r>
          </w:p>
        </w:tc>
        <w:tc>
          <w:tcPr>
            <w:tcW w:w="1522" w:type="pct"/>
          </w:tcPr>
          <w:p w:rsidR="002D7F5E" w:rsidRPr="006552E9" w:rsidRDefault="002D7F5E" w:rsidP="00AD0687">
            <w:pPr>
              <w:pStyle w:val="Tabletext"/>
            </w:pPr>
            <w:r w:rsidRPr="006552E9">
              <w:t>30 June 2012</w:t>
            </w:r>
          </w:p>
        </w:tc>
      </w:tr>
      <w:tr w:rsidR="002D7F5E" w:rsidRPr="006552E9" w:rsidTr="00B7178A">
        <w:tc>
          <w:tcPr>
            <w:tcW w:w="1932" w:type="pct"/>
          </w:tcPr>
          <w:p w:rsidR="002D7F5E" w:rsidRPr="006552E9" w:rsidRDefault="00685C19" w:rsidP="00AD0687">
            <w:pPr>
              <w:pStyle w:val="Tabletext"/>
            </w:pPr>
            <w:r w:rsidRPr="006552E9">
              <w:t>Marina Sciascia</w:t>
            </w:r>
          </w:p>
        </w:tc>
        <w:tc>
          <w:tcPr>
            <w:tcW w:w="1546" w:type="pct"/>
          </w:tcPr>
          <w:p w:rsidR="002D7F5E" w:rsidRPr="006552E9" w:rsidRDefault="002D7F5E" w:rsidP="00AD0687">
            <w:pPr>
              <w:pStyle w:val="Tabletext"/>
            </w:pPr>
            <w:r w:rsidRPr="006552E9">
              <w:t>1 June 2005</w:t>
            </w:r>
          </w:p>
        </w:tc>
        <w:tc>
          <w:tcPr>
            <w:tcW w:w="1522" w:type="pct"/>
          </w:tcPr>
          <w:p w:rsidR="002D7F5E" w:rsidRPr="006552E9" w:rsidRDefault="002D7F5E" w:rsidP="00AD0687">
            <w:pPr>
              <w:pStyle w:val="Tabletext"/>
            </w:pPr>
            <w:r w:rsidRPr="006552E9">
              <w:t>30 June 2011</w:t>
            </w:r>
          </w:p>
        </w:tc>
      </w:tr>
      <w:tr w:rsidR="002D7F5E" w:rsidRPr="006552E9" w:rsidTr="00B7178A">
        <w:tc>
          <w:tcPr>
            <w:tcW w:w="1932" w:type="pct"/>
          </w:tcPr>
          <w:p w:rsidR="002D7F5E" w:rsidRPr="006552E9" w:rsidRDefault="00685C19" w:rsidP="00AD0687">
            <w:pPr>
              <w:pStyle w:val="Tabletext"/>
            </w:pPr>
            <w:r w:rsidRPr="006552E9">
              <w:t>Te Kāhautu Maxwell</w:t>
            </w:r>
          </w:p>
        </w:tc>
        <w:tc>
          <w:tcPr>
            <w:tcW w:w="1546" w:type="pct"/>
          </w:tcPr>
          <w:p w:rsidR="002D7F5E" w:rsidRPr="006552E9" w:rsidRDefault="002D7F5E" w:rsidP="00AD0687">
            <w:pPr>
              <w:pStyle w:val="Tabletext"/>
            </w:pPr>
            <w:r w:rsidRPr="006552E9">
              <w:t>1 July 2008</w:t>
            </w:r>
          </w:p>
        </w:tc>
        <w:tc>
          <w:tcPr>
            <w:tcW w:w="1522" w:type="pct"/>
          </w:tcPr>
          <w:p w:rsidR="002D7F5E" w:rsidRPr="006552E9" w:rsidRDefault="002D7F5E" w:rsidP="00AD0687">
            <w:pPr>
              <w:pStyle w:val="Tabletext"/>
            </w:pPr>
            <w:r w:rsidRPr="006552E9">
              <w:t>30 June 2011</w:t>
            </w:r>
          </w:p>
        </w:tc>
      </w:tr>
      <w:tr w:rsidR="002D7F5E" w:rsidRPr="006552E9" w:rsidTr="00B7178A">
        <w:tc>
          <w:tcPr>
            <w:tcW w:w="1932" w:type="pct"/>
          </w:tcPr>
          <w:p w:rsidR="002D7F5E" w:rsidRPr="006552E9" w:rsidRDefault="00685C19" w:rsidP="00AD0687">
            <w:pPr>
              <w:pStyle w:val="Tabletext"/>
            </w:pPr>
            <w:r w:rsidRPr="006552E9">
              <w:t>John Huria</w:t>
            </w:r>
          </w:p>
        </w:tc>
        <w:tc>
          <w:tcPr>
            <w:tcW w:w="1546" w:type="pct"/>
          </w:tcPr>
          <w:p w:rsidR="002D7F5E" w:rsidRPr="006552E9" w:rsidRDefault="002D7F5E" w:rsidP="00AD0687">
            <w:pPr>
              <w:pStyle w:val="Tabletext"/>
            </w:pPr>
            <w:r w:rsidRPr="006552E9">
              <w:t>1 July 2008</w:t>
            </w:r>
          </w:p>
        </w:tc>
        <w:tc>
          <w:tcPr>
            <w:tcW w:w="1522" w:type="pct"/>
          </w:tcPr>
          <w:p w:rsidR="002D7F5E" w:rsidRPr="006552E9" w:rsidRDefault="002D7F5E" w:rsidP="00AD0687">
            <w:pPr>
              <w:pStyle w:val="Tabletext"/>
            </w:pPr>
            <w:r w:rsidRPr="006552E9">
              <w:t>30 June 2011</w:t>
            </w:r>
          </w:p>
        </w:tc>
      </w:tr>
      <w:tr w:rsidR="002D7F5E" w:rsidRPr="006552E9" w:rsidTr="00B7178A">
        <w:tc>
          <w:tcPr>
            <w:tcW w:w="1932" w:type="pct"/>
          </w:tcPr>
          <w:p w:rsidR="002D7F5E" w:rsidRPr="006552E9" w:rsidRDefault="00685C19" w:rsidP="00AD0687">
            <w:pPr>
              <w:pStyle w:val="Tabletext"/>
            </w:pPr>
            <w:r w:rsidRPr="006552E9">
              <w:t>Kura Te Waru Rewiri</w:t>
            </w:r>
          </w:p>
        </w:tc>
        <w:tc>
          <w:tcPr>
            <w:tcW w:w="1546" w:type="pct"/>
          </w:tcPr>
          <w:p w:rsidR="002D7F5E" w:rsidRPr="006552E9" w:rsidRDefault="002D7F5E" w:rsidP="00AD0687">
            <w:pPr>
              <w:pStyle w:val="Tabletext"/>
            </w:pPr>
            <w:r w:rsidRPr="006552E9">
              <w:t>1 July 2008</w:t>
            </w:r>
          </w:p>
        </w:tc>
        <w:tc>
          <w:tcPr>
            <w:tcW w:w="1522" w:type="pct"/>
          </w:tcPr>
          <w:p w:rsidR="002D7F5E" w:rsidRPr="006552E9" w:rsidRDefault="002D7F5E" w:rsidP="00AD0687">
            <w:pPr>
              <w:pStyle w:val="Tabletext"/>
            </w:pPr>
            <w:r w:rsidRPr="006552E9">
              <w:t>30 June 2011</w:t>
            </w:r>
          </w:p>
        </w:tc>
      </w:tr>
      <w:tr w:rsidR="002D7F5E" w:rsidRPr="006552E9" w:rsidTr="00B7178A">
        <w:tc>
          <w:tcPr>
            <w:tcW w:w="1932" w:type="pct"/>
          </w:tcPr>
          <w:p w:rsidR="002D7F5E" w:rsidRPr="006552E9" w:rsidRDefault="002D7F5E" w:rsidP="00AD0687">
            <w:pPr>
              <w:pStyle w:val="Tabletext"/>
            </w:pPr>
            <w:r w:rsidRPr="006552E9">
              <w:t>Matanuku Mahuika</w:t>
            </w:r>
          </w:p>
        </w:tc>
        <w:tc>
          <w:tcPr>
            <w:tcW w:w="1546" w:type="pct"/>
          </w:tcPr>
          <w:p w:rsidR="002D7F5E" w:rsidRPr="006552E9" w:rsidRDefault="002D7F5E" w:rsidP="00AD0687">
            <w:pPr>
              <w:pStyle w:val="Tabletext"/>
            </w:pPr>
            <w:r w:rsidRPr="006552E9">
              <w:t>1 July 2009</w:t>
            </w:r>
          </w:p>
        </w:tc>
        <w:tc>
          <w:tcPr>
            <w:tcW w:w="1522" w:type="pct"/>
          </w:tcPr>
          <w:p w:rsidR="002D7F5E" w:rsidRPr="006552E9" w:rsidRDefault="002D7F5E" w:rsidP="00AD0687">
            <w:pPr>
              <w:pStyle w:val="Tabletext"/>
            </w:pPr>
            <w:r w:rsidRPr="006552E9">
              <w:t>30 June 2012</w:t>
            </w:r>
          </w:p>
        </w:tc>
      </w:tr>
      <w:tr w:rsidR="002D7F5E" w:rsidRPr="006552E9" w:rsidTr="00B7178A">
        <w:tc>
          <w:tcPr>
            <w:tcW w:w="1932" w:type="pct"/>
          </w:tcPr>
          <w:p w:rsidR="002D7F5E" w:rsidRPr="006552E9" w:rsidRDefault="002D7F5E" w:rsidP="00AD0687">
            <w:pPr>
              <w:pStyle w:val="Tabletext"/>
            </w:pPr>
            <w:r w:rsidRPr="006552E9">
              <w:t>Nathan Gray</w:t>
            </w:r>
          </w:p>
        </w:tc>
        <w:tc>
          <w:tcPr>
            <w:tcW w:w="1546" w:type="pct"/>
          </w:tcPr>
          <w:p w:rsidR="002D7F5E" w:rsidRPr="006552E9" w:rsidRDefault="002D7F5E" w:rsidP="00AD0687">
            <w:pPr>
              <w:pStyle w:val="Tabletext"/>
            </w:pPr>
            <w:r w:rsidRPr="006552E9">
              <w:t>1 July 2009</w:t>
            </w:r>
          </w:p>
        </w:tc>
        <w:tc>
          <w:tcPr>
            <w:tcW w:w="1522" w:type="pct"/>
          </w:tcPr>
          <w:p w:rsidR="002D7F5E" w:rsidRPr="006552E9" w:rsidRDefault="002D7F5E" w:rsidP="00AD0687">
            <w:pPr>
              <w:pStyle w:val="Tabletext"/>
            </w:pPr>
            <w:r w:rsidRPr="006552E9">
              <w:t>30 June 2012</w:t>
            </w:r>
          </w:p>
        </w:tc>
      </w:tr>
    </w:tbl>
    <w:p w:rsidR="002D7F5E" w:rsidRPr="006552E9" w:rsidRDefault="002D7F5E" w:rsidP="00B7178A">
      <w:pPr>
        <w:rPr>
          <w:b/>
        </w:rPr>
      </w:pPr>
    </w:p>
    <w:tbl>
      <w:tblPr>
        <w:tblW w:w="4986" w:type="pct"/>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407"/>
        <w:gridCol w:w="1419"/>
        <w:gridCol w:w="1843"/>
        <w:gridCol w:w="2548"/>
      </w:tblGrid>
      <w:tr w:rsidR="00E122E7" w:rsidRPr="006552E9" w:rsidTr="00F82B3C">
        <w:trPr>
          <w:tblHeader/>
        </w:trPr>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rPr>
                <w:b/>
              </w:rPr>
            </w:pPr>
            <w:r w:rsidRPr="006552E9">
              <w:rPr>
                <w:b/>
              </w:rPr>
              <w:t>PACIFIC ARTS COMMITTEE</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rPr>
                <w:b/>
              </w:rPr>
            </w:pPr>
            <w:r w:rsidRPr="006552E9">
              <w:rPr>
                <w:b/>
              </w:rPr>
              <w:t>Island</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rPr>
                <w:b/>
              </w:rPr>
            </w:pPr>
            <w:r w:rsidRPr="006552E9">
              <w:rPr>
                <w:b/>
              </w:rPr>
              <w:t>Appointed</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rPr>
                <w:b/>
              </w:rPr>
            </w:pPr>
            <w:r w:rsidRPr="006552E9">
              <w:rPr>
                <w:b/>
              </w:rPr>
              <w:t>Current Term Expires</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DA05FD" w:rsidP="00E122E7">
            <w:pPr>
              <w:pStyle w:val="Tabletext"/>
            </w:pPr>
            <w:r w:rsidRPr="006552E9">
              <w:t xml:space="preserve">Associate Professor Hon Luamanuvao </w:t>
            </w:r>
            <w:r w:rsidR="00E122E7" w:rsidRPr="006552E9">
              <w:t>Winnie Laban (Chair)</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Samoa</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February 2013</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r w:rsidRPr="006552E9">
              <w:t>31 December 2013</w:t>
            </w:r>
          </w:p>
        </w:tc>
      </w:tr>
      <w:tr w:rsidR="00F82B3C" w:rsidRPr="006552E9" w:rsidTr="00F82B3C">
        <w:tc>
          <w:tcPr>
            <w:tcW w:w="1848" w:type="pct"/>
            <w:tcBorders>
              <w:top w:val="single" w:sz="4" w:space="0" w:color="auto"/>
              <w:bottom w:val="single" w:sz="4" w:space="0" w:color="auto"/>
              <w:right w:val="single" w:sz="4" w:space="0" w:color="auto"/>
            </w:tcBorders>
          </w:tcPr>
          <w:p w:rsidR="00F82B3C" w:rsidRPr="006552E9" w:rsidRDefault="00F82B3C" w:rsidP="00DE3684">
            <w:pPr>
              <w:pStyle w:val="Tabletext"/>
            </w:pPr>
            <w:bookmarkStart w:id="115" w:name="OLE_LINK11"/>
            <w:r w:rsidRPr="006552E9">
              <w:t>Fuimaona Karl Pulotu-Endemann</w:t>
            </w:r>
            <w:bookmarkEnd w:id="115"/>
          </w:p>
        </w:tc>
        <w:tc>
          <w:tcPr>
            <w:tcW w:w="770" w:type="pct"/>
            <w:tcBorders>
              <w:top w:val="single" w:sz="4" w:space="0" w:color="auto"/>
              <w:left w:val="single" w:sz="4" w:space="0" w:color="auto"/>
              <w:bottom w:val="single" w:sz="4" w:space="0" w:color="auto"/>
              <w:right w:val="single" w:sz="4" w:space="0" w:color="auto"/>
            </w:tcBorders>
          </w:tcPr>
          <w:p w:rsidR="00F82B3C" w:rsidRPr="006552E9" w:rsidRDefault="00F82B3C" w:rsidP="00DE3684">
            <w:pPr>
              <w:pStyle w:val="Tabletext"/>
            </w:pPr>
            <w:r w:rsidRPr="006552E9">
              <w:t>Samoa</w:t>
            </w:r>
          </w:p>
        </w:tc>
        <w:tc>
          <w:tcPr>
            <w:tcW w:w="1000" w:type="pct"/>
            <w:tcBorders>
              <w:top w:val="single" w:sz="4" w:space="0" w:color="auto"/>
              <w:left w:val="single" w:sz="4" w:space="0" w:color="auto"/>
              <w:bottom w:val="single" w:sz="4" w:space="0" w:color="auto"/>
              <w:right w:val="single" w:sz="4" w:space="0" w:color="auto"/>
            </w:tcBorders>
          </w:tcPr>
          <w:p w:rsidR="00F82B3C" w:rsidRPr="006552E9" w:rsidRDefault="00F82B3C" w:rsidP="00DE3684">
            <w:pPr>
              <w:pStyle w:val="Tabletext"/>
            </w:pPr>
            <w:r w:rsidRPr="006552E9">
              <w:t>August 2009</w:t>
            </w:r>
          </w:p>
        </w:tc>
        <w:tc>
          <w:tcPr>
            <w:tcW w:w="1382" w:type="pct"/>
            <w:tcBorders>
              <w:top w:val="single" w:sz="4" w:space="0" w:color="auto"/>
              <w:left w:val="single" w:sz="4" w:space="0" w:color="auto"/>
              <w:bottom w:val="single" w:sz="4" w:space="0" w:color="auto"/>
            </w:tcBorders>
          </w:tcPr>
          <w:p w:rsidR="00F82B3C" w:rsidRPr="006552E9" w:rsidRDefault="00F82B3C" w:rsidP="00DE3684">
            <w:pPr>
              <w:pStyle w:val="Tabletext"/>
            </w:pPr>
            <w:r w:rsidRPr="006552E9">
              <w:t>August 2012</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pPr>
            <w:r w:rsidRPr="006552E9">
              <w:t>Marama Papau</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Tuvalu</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3 October 2011</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r w:rsidRPr="006552E9">
              <w:t>3 October 2012</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pPr>
            <w:r w:rsidRPr="006552E9">
              <w:t>Kolokesa Mahina-Tuai</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Tonga</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1 October 2011</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r w:rsidRPr="006552E9">
              <w:t>1 October 2012</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pPr>
            <w:r w:rsidRPr="006552E9">
              <w:t>Tigilau Ness</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Niue</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16 August 2011</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r w:rsidRPr="006552E9">
              <w:t>16 August 2012</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pPr>
            <w:r w:rsidRPr="006552E9">
              <w:t>Caren Rangi</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Cook Islands</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February 2012</w:t>
            </w: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r w:rsidRPr="006552E9">
              <w:t>10 February 2013</w:t>
            </w:r>
          </w:p>
        </w:tc>
      </w:tr>
      <w:tr w:rsidR="00F82B3C" w:rsidRPr="006552E9" w:rsidTr="00F82B3C">
        <w:tc>
          <w:tcPr>
            <w:tcW w:w="1848" w:type="pct"/>
            <w:tcBorders>
              <w:top w:val="single" w:sz="4" w:space="0" w:color="auto"/>
              <w:bottom w:val="single" w:sz="4" w:space="0" w:color="auto"/>
              <w:right w:val="single" w:sz="4" w:space="0" w:color="auto"/>
            </w:tcBorders>
          </w:tcPr>
          <w:p w:rsidR="00F82B3C" w:rsidRPr="006552E9" w:rsidRDefault="00F82B3C" w:rsidP="00DE3684">
            <w:pPr>
              <w:pStyle w:val="Tabletext"/>
            </w:pPr>
            <w:r w:rsidRPr="006552E9">
              <w:t xml:space="preserve">Pandora Fulimalo Pereira </w:t>
            </w:r>
          </w:p>
        </w:tc>
        <w:tc>
          <w:tcPr>
            <w:tcW w:w="770" w:type="pct"/>
            <w:tcBorders>
              <w:top w:val="single" w:sz="4" w:space="0" w:color="auto"/>
              <w:left w:val="single" w:sz="4" w:space="0" w:color="auto"/>
              <w:bottom w:val="single" w:sz="4" w:space="0" w:color="auto"/>
              <w:right w:val="single" w:sz="4" w:space="0" w:color="auto"/>
            </w:tcBorders>
          </w:tcPr>
          <w:p w:rsidR="00F82B3C" w:rsidRPr="006552E9" w:rsidRDefault="00F82B3C" w:rsidP="00DE3684">
            <w:pPr>
              <w:pStyle w:val="Tabletext"/>
            </w:pPr>
            <w:r w:rsidRPr="006552E9">
              <w:t>Tokelau</w:t>
            </w:r>
          </w:p>
        </w:tc>
        <w:tc>
          <w:tcPr>
            <w:tcW w:w="1000" w:type="pct"/>
            <w:tcBorders>
              <w:top w:val="single" w:sz="4" w:space="0" w:color="auto"/>
              <w:left w:val="single" w:sz="4" w:space="0" w:color="auto"/>
              <w:bottom w:val="single" w:sz="4" w:space="0" w:color="auto"/>
              <w:right w:val="single" w:sz="4" w:space="0" w:color="auto"/>
            </w:tcBorders>
          </w:tcPr>
          <w:p w:rsidR="00F82B3C" w:rsidRPr="006552E9" w:rsidRDefault="00F82B3C" w:rsidP="00DE3684">
            <w:pPr>
              <w:pStyle w:val="Tabletext"/>
            </w:pPr>
            <w:r w:rsidRPr="006552E9">
              <w:t>May 2013</w:t>
            </w:r>
          </w:p>
        </w:tc>
        <w:tc>
          <w:tcPr>
            <w:tcW w:w="1382" w:type="pct"/>
            <w:tcBorders>
              <w:top w:val="single" w:sz="4" w:space="0" w:color="auto"/>
              <w:left w:val="single" w:sz="4" w:space="0" w:color="auto"/>
              <w:bottom w:val="single" w:sz="4" w:space="0" w:color="auto"/>
            </w:tcBorders>
          </w:tcPr>
          <w:p w:rsidR="00F82B3C" w:rsidRPr="006552E9" w:rsidRDefault="00F82B3C" w:rsidP="00DE3684">
            <w:pPr>
              <w:pStyle w:val="Tabletext"/>
            </w:pPr>
            <w:r w:rsidRPr="006552E9">
              <w:t>May 2014 or until new legislation enacted</w:t>
            </w:r>
          </w:p>
        </w:tc>
      </w:tr>
      <w:tr w:rsidR="00E122E7" w:rsidRPr="006552E9" w:rsidTr="00F82B3C">
        <w:tc>
          <w:tcPr>
            <w:tcW w:w="1848" w:type="pct"/>
            <w:tcBorders>
              <w:top w:val="single" w:sz="4" w:space="0" w:color="auto"/>
              <w:bottom w:val="single" w:sz="4" w:space="0" w:color="auto"/>
              <w:right w:val="single" w:sz="4" w:space="0" w:color="auto"/>
            </w:tcBorders>
          </w:tcPr>
          <w:p w:rsidR="00E122E7" w:rsidRPr="006552E9" w:rsidRDefault="00E122E7" w:rsidP="00E122E7">
            <w:pPr>
              <w:pStyle w:val="Tabletext"/>
            </w:pPr>
            <w:r w:rsidRPr="006552E9">
              <w:t>Vacancy</w:t>
            </w:r>
          </w:p>
        </w:tc>
        <w:tc>
          <w:tcPr>
            <w:tcW w:w="77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r w:rsidRPr="006552E9">
              <w:t>Fiji</w:t>
            </w:r>
          </w:p>
        </w:tc>
        <w:tc>
          <w:tcPr>
            <w:tcW w:w="1000" w:type="pct"/>
            <w:tcBorders>
              <w:top w:val="single" w:sz="4" w:space="0" w:color="auto"/>
              <w:left w:val="single" w:sz="4" w:space="0" w:color="auto"/>
              <w:bottom w:val="single" w:sz="4" w:space="0" w:color="auto"/>
              <w:right w:val="single" w:sz="4" w:space="0" w:color="auto"/>
            </w:tcBorders>
          </w:tcPr>
          <w:p w:rsidR="00E122E7" w:rsidRPr="006552E9" w:rsidRDefault="00E122E7" w:rsidP="00E122E7">
            <w:pPr>
              <w:pStyle w:val="Tabletext"/>
            </w:pPr>
          </w:p>
        </w:tc>
        <w:tc>
          <w:tcPr>
            <w:tcW w:w="1382" w:type="pct"/>
            <w:tcBorders>
              <w:top w:val="single" w:sz="4" w:space="0" w:color="auto"/>
              <w:left w:val="single" w:sz="4" w:space="0" w:color="auto"/>
              <w:bottom w:val="single" w:sz="4" w:space="0" w:color="auto"/>
            </w:tcBorders>
          </w:tcPr>
          <w:p w:rsidR="00E122E7" w:rsidRPr="006552E9" w:rsidRDefault="00E122E7" w:rsidP="00E122E7">
            <w:pPr>
              <w:pStyle w:val="Tabletext"/>
            </w:pPr>
          </w:p>
        </w:tc>
      </w:tr>
    </w:tbl>
    <w:p w:rsidR="002D7F5E" w:rsidRPr="006552E9" w:rsidRDefault="002D7F5E" w:rsidP="00E22C83">
      <w:pPr>
        <w:pStyle w:val="Style1"/>
      </w:pPr>
      <w:r w:rsidRPr="006552E9">
        <w:t xml:space="preserve">Directions from the Minister </w:t>
      </w:r>
    </w:p>
    <w:p w:rsidR="00AE1ECD" w:rsidRPr="006552E9" w:rsidRDefault="002D7F5E" w:rsidP="00AE1ECD">
      <w:r w:rsidRPr="006552E9">
        <w:t xml:space="preserve">Creative New Zealand did not receive any directions from the Minister for Arts, Culture and Heritage in </w:t>
      </w:r>
      <w:r w:rsidR="008243E0" w:rsidRPr="006552E9">
        <w:t>2012/13</w:t>
      </w:r>
      <w:r w:rsidR="009C6829" w:rsidRPr="006552E9">
        <w:t>.</w:t>
      </w:r>
      <w:r w:rsidR="00175E6D" w:rsidRPr="006552E9">
        <w:t xml:space="preserve"> </w:t>
      </w:r>
    </w:p>
    <w:p w:rsidR="002D7F5E" w:rsidRPr="006552E9" w:rsidRDefault="002D7F5E" w:rsidP="00E22C83">
      <w:pPr>
        <w:pStyle w:val="Style1"/>
      </w:pPr>
      <w:r w:rsidRPr="006552E9">
        <w:t xml:space="preserve">Acts in </w:t>
      </w:r>
      <w:r w:rsidR="00EE52B9" w:rsidRPr="006552E9">
        <w:t>breach of statute</w:t>
      </w:r>
    </w:p>
    <w:p w:rsidR="00AE1ECD" w:rsidRPr="006552E9" w:rsidRDefault="002D7F5E" w:rsidP="00AE1ECD">
      <w:r w:rsidRPr="006552E9">
        <w:t>Creative New Zealand cannot act in a way that is contrary to, or outside the authority of, an Act of Parliament</w:t>
      </w:r>
      <w:r w:rsidR="009C6829" w:rsidRPr="006552E9">
        <w:t>.</w:t>
      </w:r>
      <w:r w:rsidR="00175E6D" w:rsidRPr="006552E9">
        <w:t xml:space="preserve"> </w:t>
      </w:r>
      <w:r w:rsidRPr="006552E9">
        <w:t xml:space="preserve">Creative New Zealand has not performed any </w:t>
      </w:r>
      <w:r w:rsidRPr="006552E9">
        <w:rPr>
          <w:i/>
        </w:rPr>
        <w:t>ultra vires</w:t>
      </w:r>
      <w:r w:rsidRPr="006552E9">
        <w:t xml:space="preserve"> transactions (section 19 of the Crown Entities Act 2004).</w:t>
      </w:r>
    </w:p>
    <w:p w:rsidR="002D7F5E" w:rsidRPr="006552E9" w:rsidRDefault="002D7F5E" w:rsidP="00E22C83">
      <w:pPr>
        <w:pStyle w:val="Style1"/>
      </w:pPr>
      <w:r w:rsidRPr="006552E9">
        <w:t xml:space="preserve">Permission to </w:t>
      </w:r>
      <w:r w:rsidR="00EE52B9" w:rsidRPr="006552E9">
        <w:t>act</w:t>
      </w:r>
    </w:p>
    <w:p w:rsidR="00AE1ECD" w:rsidRPr="006552E9" w:rsidRDefault="002D7F5E" w:rsidP="00AE1ECD">
      <w:r w:rsidRPr="006552E9">
        <w:t xml:space="preserve">Under the Crown Entities Act 2004, a member who is interested in a matter relating to a Crown entity must not </w:t>
      </w:r>
      <w:r w:rsidR="00EE52B9" w:rsidRPr="006552E9">
        <w:t>vote</w:t>
      </w:r>
      <w:r w:rsidR="00C55DDD" w:rsidRPr="006552E9">
        <w:t xml:space="preserve"> </w:t>
      </w:r>
      <w:r w:rsidRPr="006552E9">
        <w:t xml:space="preserve">or take part in any discussion or decision of the board or any committee relating to that </w:t>
      </w:r>
      <w:r w:rsidRPr="006552E9" w:rsidDel="004866E6">
        <w:t>m</w:t>
      </w:r>
      <w:r w:rsidRPr="006552E9">
        <w:t>atter</w:t>
      </w:r>
      <w:r w:rsidR="009C6829" w:rsidRPr="006552E9">
        <w:t>.</w:t>
      </w:r>
      <w:r w:rsidR="00175E6D" w:rsidRPr="006552E9">
        <w:t xml:space="preserve"> </w:t>
      </w:r>
      <w:r w:rsidRPr="006552E9">
        <w:t>However, the Chair of a Crown entity may exempt one or more board members from this requirement if it is in the public interest to do so (section 68(6) of the Crown Entities Act 2004)</w:t>
      </w:r>
      <w:r w:rsidR="009C6829" w:rsidRPr="006552E9">
        <w:t>.</w:t>
      </w:r>
      <w:r w:rsidR="00175E6D" w:rsidRPr="006552E9">
        <w:t xml:space="preserve"> </w:t>
      </w:r>
      <w:r w:rsidRPr="006552E9">
        <w:t xml:space="preserve">No exemptions were granted in </w:t>
      </w:r>
      <w:r w:rsidR="008243E0" w:rsidRPr="006552E9">
        <w:t>2012/13</w:t>
      </w:r>
      <w:r w:rsidRPr="006552E9">
        <w:t>.</w:t>
      </w:r>
    </w:p>
    <w:p w:rsidR="002D7F5E" w:rsidRPr="006552E9" w:rsidRDefault="002D7F5E" w:rsidP="00E22C83">
      <w:pPr>
        <w:pStyle w:val="Style1"/>
        <w:rPr>
          <w:color w:val="auto"/>
        </w:rPr>
      </w:pPr>
      <w:r w:rsidRPr="006552E9">
        <w:t xml:space="preserve">Governance and </w:t>
      </w:r>
      <w:r w:rsidR="00EE52B9" w:rsidRPr="006552E9">
        <w:t>management</w:t>
      </w:r>
    </w:p>
    <w:p w:rsidR="002D7F5E" w:rsidRPr="006552E9" w:rsidRDefault="002D7F5E" w:rsidP="002D7F5E">
      <w:r w:rsidRPr="006552E9">
        <w:t>The Arts Council delegates to the Chief Executive authority to manage the operational performance of Creative New Zealand</w:t>
      </w:r>
      <w:r w:rsidR="009C6829" w:rsidRPr="006552E9">
        <w:t>.</w:t>
      </w:r>
      <w:r w:rsidR="00175E6D" w:rsidRPr="006552E9">
        <w:t xml:space="preserve"> </w:t>
      </w:r>
      <w:r w:rsidRPr="006552E9">
        <w:t>These delegations are detailed in Creative New Zealand’s Delegations Schedule, which is approved by the Arts Council.</w:t>
      </w:r>
    </w:p>
    <w:p w:rsidR="002D7F5E" w:rsidRPr="006552E9" w:rsidRDefault="002D7F5E" w:rsidP="002D7F5E">
      <w:r w:rsidRPr="006552E9">
        <w:t xml:space="preserve">The roles of governance and management are well defined and there is a successful working relationship between the governors and senior </w:t>
      </w:r>
      <w:r w:rsidR="00EE52B9" w:rsidRPr="006552E9">
        <w:t>leadership</w:t>
      </w:r>
      <w:r w:rsidRPr="006552E9">
        <w:t xml:space="preserve"> team at Creative New Zealand</w:t>
      </w:r>
      <w:r w:rsidR="009C6829" w:rsidRPr="006552E9">
        <w:t>.</w:t>
      </w:r>
      <w:r w:rsidR="00175E6D" w:rsidRPr="006552E9">
        <w:t xml:space="preserve"> </w:t>
      </w:r>
      <w:r w:rsidR="001B64C7" w:rsidRPr="006552E9">
        <w:t xml:space="preserve">The </w:t>
      </w:r>
      <w:r w:rsidRPr="006552E9">
        <w:t>senior leadership team comprises the following people</w:t>
      </w:r>
      <w:r w:rsidR="00F82B3C">
        <w:t>.</w:t>
      </w:r>
    </w:p>
    <w:p w:rsidR="002D7F5E" w:rsidRPr="006552E9" w:rsidRDefault="002D7F5E" w:rsidP="00444EE1">
      <w:pPr>
        <w:spacing w:before="0"/>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378"/>
        <w:gridCol w:w="6802"/>
      </w:tblGrid>
      <w:tr w:rsidR="002D7F5E" w:rsidRPr="006552E9" w:rsidTr="00B7178A">
        <w:tc>
          <w:tcPr>
            <w:tcW w:w="5000" w:type="pct"/>
            <w:gridSpan w:val="2"/>
          </w:tcPr>
          <w:p w:rsidR="002D7F5E" w:rsidRPr="006552E9" w:rsidRDefault="002D7F5E" w:rsidP="00444EE1">
            <w:pPr>
              <w:pStyle w:val="Tabletext"/>
              <w:rPr>
                <w:highlight w:val="lightGray"/>
              </w:rPr>
            </w:pPr>
            <w:r w:rsidRPr="006552E9">
              <w:rPr>
                <w:b/>
              </w:rPr>
              <w:t>Chief Executive:</w:t>
            </w:r>
            <w:r w:rsidRPr="006552E9">
              <w:t xml:space="preserve"> </w:t>
            </w:r>
            <w:r w:rsidR="001B64C7" w:rsidRPr="006552E9">
              <w:tab/>
            </w:r>
            <w:r w:rsidRPr="006552E9">
              <w:t>Stephen Wainwright</w:t>
            </w:r>
          </w:p>
        </w:tc>
      </w:tr>
      <w:tr w:rsidR="00B7178A" w:rsidRPr="006552E9" w:rsidTr="00B7178A">
        <w:tc>
          <w:tcPr>
            <w:tcW w:w="1295" w:type="pct"/>
          </w:tcPr>
          <w:p w:rsidR="00B7178A" w:rsidRPr="006552E9" w:rsidRDefault="00B7178A" w:rsidP="00AD0687">
            <w:pPr>
              <w:pStyle w:val="Tabletext"/>
              <w:rPr>
                <w:b/>
              </w:rPr>
            </w:pPr>
            <w:r w:rsidRPr="006552E9">
              <w:rPr>
                <w:b/>
              </w:rPr>
              <w:t xml:space="preserve">Arts Funding </w:t>
            </w:r>
          </w:p>
          <w:p w:rsidR="001B64C7" w:rsidRPr="006552E9" w:rsidRDefault="001B64C7" w:rsidP="00B7178A">
            <w:pPr>
              <w:pStyle w:val="Tabletext"/>
            </w:pPr>
          </w:p>
          <w:p w:rsidR="00B7178A" w:rsidRPr="006552E9" w:rsidRDefault="00B7178A" w:rsidP="00B7178A">
            <w:pPr>
              <w:pStyle w:val="Tabletext"/>
            </w:pPr>
            <w:r w:rsidRPr="006552E9">
              <w:t xml:space="preserve">Senior Manager: </w:t>
            </w:r>
          </w:p>
          <w:p w:rsidR="00B7178A" w:rsidRPr="006552E9" w:rsidRDefault="00B7178A" w:rsidP="00B7178A">
            <w:pPr>
              <w:pStyle w:val="Tabletext"/>
            </w:pPr>
            <w:r w:rsidRPr="006552E9">
              <w:t>Gail Richards</w:t>
            </w:r>
          </w:p>
        </w:tc>
        <w:tc>
          <w:tcPr>
            <w:tcW w:w="3705" w:type="pct"/>
          </w:tcPr>
          <w:p w:rsidR="00B7178A" w:rsidRPr="006552E9" w:rsidRDefault="00B7178A" w:rsidP="00AE1ECD">
            <w:pPr>
              <w:pStyle w:val="Tabletext"/>
            </w:pPr>
            <w:r w:rsidRPr="006552E9">
              <w:t xml:space="preserve">The Arts Funding team manages the development and delivery of Creative New Zealand’s suite of funding programmes, including </w:t>
            </w:r>
            <w:r w:rsidR="007A7BB5" w:rsidRPr="006552E9">
              <w:t xml:space="preserve">the Tōtara and Kahikatea </w:t>
            </w:r>
            <w:r w:rsidR="00A77BD6" w:rsidRPr="006552E9">
              <w:t xml:space="preserve">investment </w:t>
            </w:r>
            <w:r w:rsidR="007A7BB5" w:rsidRPr="006552E9">
              <w:t>programme</w:t>
            </w:r>
            <w:r w:rsidR="001B5171" w:rsidRPr="006552E9">
              <w:t>s</w:t>
            </w:r>
            <w:r w:rsidR="007A7BB5" w:rsidRPr="006552E9">
              <w:t xml:space="preserve">, Quick Response </w:t>
            </w:r>
            <w:r w:rsidR="00444EE1" w:rsidRPr="006552E9">
              <w:t>G</w:t>
            </w:r>
            <w:r w:rsidR="007A7BB5" w:rsidRPr="006552E9">
              <w:t>rants,</w:t>
            </w:r>
            <w:r w:rsidRPr="006552E9">
              <w:t xml:space="preserve"> Arts Grants, </w:t>
            </w:r>
            <w:r w:rsidR="007A7BB5" w:rsidRPr="006552E9">
              <w:t>Toi Ake</w:t>
            </w:r>
            <w:r w:rsidRPr="006552E9">
              <w:t>, the Creative Communities Scheme and special opportunities for artists.</w:t>
            </w:r>
          </w:p>
          <w:p w:rsidR="00B7178A" w:rsidRPr="006552E9" w:rsidRDefault="00B7178A" w:rsidP="00AE1ECD">
            <w:pPr>
              <w:pStyle w:val="Tabletext"/>
              <w:spacing w:before="120"/>
            </w:pPr>
            <w:r w:rsidRPr="006552E9">
              <w:t>Creative New Zealand’s funding programmes are designed to support the development of a strong and dynamic arts sector in New Zealand and to provide New Zealanders with the opportunity to engage with the arts as participants and audience members.</w:t>
            </w:r>
          </w:p>
          <w:p w:rsidR="00B7178A" w:rsidRPr="006552E9" w:rsidRDefault="00B7178A" w:rsidP="00AE1ECD">
            <w:pPr>
              <w:pStyle w:val="Tabletext"/>
              <w:spacing w:before="120"/>
            </w:pPr>
            <w:r w:rsidRPr="006552E9">
              <w:t>Advisers work directly with artists, arts practitioners and arts organisations and combine their knowledge with the advice of external assessors to advise Creative New Zealand’s Arts Council and funding bodies.</w:t>
            </w:r>
          </w:p>
        </w:tc>
      </w:tr>
      <w:tr w:rsidR="00B7178A" w:rsidRPr="006552E9" w:rsidTr="00B7178A">
        <w:tc>
          <w:tcPr>
            <w:tcW w:w="1295" w:type="pct"/>
          </w:tcPr>
          <w:p w:rsidR="00B7178A" w:rsidRPr="006552E9" w:rsidRDefault="00B7178A" w:rsidP="00AD0687">
            <w:pPr>
              <w:pStyle w:val="Tabletext"/>
              <w:rPr>
                <w:b/>
              </w:rPr>
            </w:pPr>
            <w:r w:rsidRPr="006552E9">
              <w:rPr>
                <w:b/>
              </w:rPr>
              <w:t>Arts Policy, Capability and International</w:t>
            </w:r>
          </w:p>
          <w:p w:rsidR="001B64C7" w:rsidRPr="006552E9" w:rsidRDefault="001B64C7" w:rsidP="00B7178A">
            <w:pPr>
              <w:pStyle w:val="Tabletext"/>
            </w:pPr>
          </w:p>
          <w:p w:rsidR="00B7178A" w:rsidRPr="006552E9" w:rsidRDefault="00B7178A" w:rsidP="00B7178A">
            <w:pPr>
              <w:pStyle w:val="Tabletext"/>
            </w:pPr>
            <w:r w:rsidRPr="006552E9">
              <w:t xml:space="preserve">Senior Manager: </w:t>
            </w:r>
          </w:p>
          <w:p w:rsidR="00B7178A" w:rsidRPr="006552E9" w:rsidRDefault="00B7178A" w:rsidP="00B7178A">
            <w:pPr>
              <w:pStyle w:val="Tabletext"/>
              <w:rPr>
                <w:highlight w:val="lightGray"/>
              </w:rPr>
            </w:pPr>
            <w:r w:rsidRPr="006552E9">
              <w:t>Cath Cardiff</w:t>
            </w:r>
          </w:p>
        </w:tc>
        <w:tc>
          <w:tcPr>
            <w:tcW w:w="3705" w:type="pct"/>
          </w:tcPr>
          <w:p w:rsidR="00B7178A" w:rsidRPr="006552E9" w:rsidRDefault="00D04396" w:rsidP="00F82B3C">
            <w:pPr>
              <w:pStyle w:val="Tabletext"/>
            </w:pPr>
            <w:r w:rsidRPr="006552E9">
              <w:t xml:space="preserve">The purpose of the team is to provide services to the arts sector </w:t>
            </w:r>
            <w:r w:rsidR="00F82B3C">
              <w:t>that</w:t>
            </w:r>
            <w:r w:rsidRPr="006552E9">
              <w:t xml:space="preserve"> address ongoing capability and sustainability nationally and internationally. These services are proactive interventions, approved by the Arts Council, to enable and empower New Zealand artists and arts organisations to realise their potential. The team provides relevant and well-designed capability</w:t>
            </w:r>
            <w:r w:rsidR="00877D63">
              <w:t xml:space="preserve"> </w:t>
            </w:r>
            <w:r w:rsidRPr="006552E9">
              <w:t>building initiatives, international opportunities and arts policy and research. The policy and research programme informs the Arts Council</w:t>
            </w:r>
            <w:r w:rsidR="00F82B3C">
              <w:t>,</w:t>
            </w:r>
            <w:r w:rsidRPr="006552E9">
              <w:t xml:space="preserve"> its decision making bodies and the wider arts sector.</w:t>
            </w:r>
          </w:p>
        </w:tc>
      </w:tr>
      <w:tr w:rsidR="00B7178A" w:rsidRPr="006552E9" w:rsidTr="00B7178A">
        <w:trPr>
          <w:cantSplit/>
        </w:trPr>
        <w:tc>
          <w:tcPr>
            <w:tcW w:w="1295" w:type="pct"/>
          </w:tcPr>
          <w:p w:rsidR="00B7178A" w:rsidRPr="006552E9" w:rsidRDefault="00B7178A" w:rsidP="00AD0687">
            <w:pPr>
              <w:pStyle w:val="Tabletext"/>
              <w:rPr>
                <w:b/>
              </w:rPr>
            </w:pPr>
            <w:r w:rsidRPr="006552E9">
              <w:rPr>
                <w:b/>
              </w:rPr>
              <w:t>Business Services</w:t>
            </w:r>
          </w:p>
          <w:p w:rsidR="001B64C7" w:rsidRPr="006552E9" w:rsidRDefault="001B64C7" w:rsidP="00B7178A">
            <w:pPr>
              <w:pStyle w:val="Tabletext"/>
            </w:pPr>
          </w:p>
          <w:p w:rsidR="00B7178A" w:rsidRPr="006552E9" w:rsidRDefault="00B7178A" w:rsidP="00B7178A">
            <w:pPr>
              <w:pStyle w:val="Tabletext"/>
            </w:pPr>
            <w:r w:rsidRPr="006552E9">
              <w:t xml:space="preserve">Senior Manager: </w:t>
            </w:r>
          </w:p>
          <w:p w:rsidR="00B7178A" w:rsidRPr="006552E9" w:rsidRDefault="00B7178A" w:rsidP="00B7178A">
            <w:pPr>
              <w:pStyle w:val="Tabletext"/>
            </w:pPr>
            <w:r w:rsidRPr="006552E9">
              <w:t>Angus Evison</w:t>
            </w:r>
          </w:p>
        </w:tc>
        <w:tc>
          <w:tcPr>
            <w:tcW w:w="3705" w:type="pct"/>
          </w:tcPr>
          <w:p w:rsidR="00B7178A" w:rsidRPr="006552E9" w:rsidRDefault="00B7178A" w:rsidP="00AD0687">
            <w:pPr>
              <w:pStyle w:val="Tabletext"/>
            </w:pPr>
            <w:r w:rsidRPr="006552E9">
              <w:t>Business Services provides administration, grants processing, accounting, information technology, records management and human resource services to the organisation.</w:t>
            </w:r>
          </w:p>
        </w:tc>
      </w:tr>
      <w:tr w:rsidR="00B7178A" w:rsidRPr="006552E9" w:rsidTr="00B7178A">
        <w:tc>
          <w:tcPr>
            <w:tcW w:w="1295" w:type="pct"/>
          </w:tcPr>
          <w:p w:rsidR="00B7178A" w:rsidRPr="006552E9" w:rsidRDefault="00B7178A" w:rsidP="00AD0687">
            <w:pPr>
              <w:pStyle w:val="Tabletext"/>
              <w:rPr>
                <w:b/>
              </w:rPr>
            </w:pPr>
            <w:r w:rsidRPr="006552E9">
              <w:rPr>
                <w:b/>
              </w:rPr>
              <w:t>Planning</w:t>
            </w:r>
            <w:r w:rsidR="00F82B3C">
              <w:rPr>
                <w:b/>
              </w:rPr>
              <w:t>,</w:t>
            </w:r>
            <w:r w:rsidRPr="006552E9">
              <w:rPr>
                <w:b/>
              </w:rPr>
              <w:t xml:space="preserve"> Performance and Stakeholder Relations </w:t>
            </w:r>
          </w:p>
          <w:p w:rsidR="001B64C7" w:rsidRPr="006552E9" w:rsidRDefault="001B64C7" w:rsidP="00B7178A">
            <w:pPr>
              <w:pStyle w:val="Tabletext"/>
            </w:pPr>
          </w:p>
          <w:p w:rsidR="00B7178A" w:rsidRPr="006552E9" w:rsidRDefault="00B7178A" w:rsidP="00B7178A">
            <w:pPr>
              <w:pStyle w:val="Tabletext"/>
            </w:pPr>
            <w:r w:rsidRPr="006552E9">
              <w:t>Senior Manager:</w:t>
            </w:r>
          </w:p>
          <w:p w:rsidR="00B7178A" w:rsidRPr="006552E9" w:rsidRDefault="00B7178A" w:rsidP="00B7178A">
            <w:pPr>
              <w:pStyle w:val="Tabletext"/>
            </w:pPr>
            <w:r w:rsidRPr="006552E9">
              <w:t>Sarah Tebbs</w:t>
            </w:r>
          </w:p>
        </w:tc>
        <w:tc>
          <w:tcPr>
            <w:tcW w:w="3705" w:type="pct"/>
          </w:tcPr>
          <w:p w:rsidR="00B7178A" w:rsidRPr="006552E9" w:rsidRDefault="00B7178A" w:rsidP="00AE1ECD">
            <w:pPr>
              <w:pStyle w:val="Tabletext"/>
            </w:pPr>
            <w:r w:rsidRPr="006552E9">
              <w:t>The Planning, Performance and Stakeholder Relations team manages communications with the media and other stakeholders, initiates and implements advocacy initiatives, produces publications and provides information to the arts sector and members of the public</w:t>
            </w:r>
            <w:r w:rsidR="009C6829" w:rsidRPr="006552E9">
              <w:t>.</w:t>
            </w:r>
            <w:r w:rsidR="00175E6D" w:rsidRPr="006552E9">
              <w:t xml:space="preserve"> </w:t>
            </w:r>
          </w:p>
          <w:p w:rsidR="00B7178A" w:rsidRPr="006552E9" w:rsidRDefault="00B7178A" w:rsidP="00AE1ECD">
            <w:pPr>
              <w:pStyle w:val="Tabletext"/>
              <w:spacing w:before="120"/>
              <w:rPr>
                <w:highlight w:val="lightGray"/>
              </w:rPr>
            </w:pPr>
            <w:r w:rsidRPr="006552E9">
              <w:t>The team also manages government relations, including accountability documents, public and government requests for information, business planning and governance policy.</w:t>
            </w:r>
          </w:p>
        </w:tc>
      </w:tr>
      <w:tr w:rsidR="00B7178A" w:rsidRPr="006552E9" w:rsidTr="00B7178A">
        <w:tc>
          <w:tcPr>
            <w:tcW w:w="1295" w:type="pct"/>
          </w:tcPr>
          <w:p w:rsidR="00B7178A" w:rsidRPr="006552E9" w:rsidRDefault="00B7178A" w:rsidP="00AD0687">
            <w:pPr>
              <w:pStyle w:val="Tabletext"/>
              <w:rPr>
                <w:b/>
              </w:rPr>
            </w:pPr>
            <w:r w:rsidRPr="006552E9">
              <w:rPr>
                <w:b/>
              </w:rPr>
              <w:t>Māori Engagement</w:t>
            </w:r>
          </w:p>
          <w:p w:rsidR="001B64C7" w:rsidRPr="006552E9" w:rsidRDefault="001B64C7" w:rsidP="00B7178A">
            <w:pPr>
              <w:pStyle w:val="Tabletext"/>
            </w:pPr>
          </w:p>
          <w:p w:rsidR="00B7178A" w:rsidRPr="006552E9" w:rsidRDefault="00B7178A" w:rsidP="00B7178A">
            <w:pPr>
              <w:pStyle w:val="Tabletext"/>
            </w:pPr>
            <w:r w:rsidRPr="006552E9">
              <w:t xml:space="preserve">Senior Manager: </w:t>
            </w:r>
          </w:p>
          <w:p w:rsidR="00B7178A" w:rsidRPr="006552E9" w:rsidRDefault="00B7178A" w:rsidP="00B7178A">
            <w:pPr>
              <w:pStyle w:val="Tabletext"/>
            </w:pPr>
            <w:r w:rsidRPr="006552E9">
              <w:t>Muriwai Ihakara</w:t>
            </w:r>
          </w:p>
        </w:tc>
        <w:tc>
          <w:tcPr>
            <w:tcW w:w="3705" w:type="pct"/>
          </w:tcPr>
          <w:p w:rsidR="00B7178A" w:rsidRPr="006552E9" w:rsidRDefault="00B7178A" w:rsidP="00AD0687">
            <w:pPr>
              <w:pStyle w:val="Tabletext"/>
            </w:pPr>
            <w:r w:rsidRPr="006552E9">
              <w:t>The Senior Manager, Māori Engagement provides strategic and cultural leadership for the organisation in delivering effectively to Māori, including building relationships with iwi and other stakeholders and contributing to key projects.</w:t>
            </w:r>
          </w:p>
        </w:tc>
      </w:tr>
    </w:tbl>
    <w:p w:rsidR="00D96418" w:rsidRPr="006552E9" w:rsidRDefault="00D96418" w:rsidP="00132982">
      <w:pPr>
        <w:spacing w:before="0"/>
        <w:jc w:val="left"/>
      </w:pPr>
    </w:p>
    <w:sectPr w:rsidR="00D96418" w:rsidRPr="006552E9" w:rsidSect="006B695D">
      <w:footerReference w:type="default" r:id="rId55"/>
      <w:pgSz w:w="11907" w:h="16840" w:code="9"/>
      <w:pgMar w:top="1440" w:right="1440" w:bottom="1440" w:left="1440" w:header="709"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FAC" w:rsidRDefault="00A27FAC" w:rsidP="00755886">
      <w:r>
        <w:separator/>
      </w:r>
    </w:p>
  </w:endnote>
  <w:endnote w:type="continuationSeparator" w:id="0">
    <w:p w:rsidR="00A27FAC" w:rsidRDefault="00A27FAC" w:rsidP="0075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PBLOX+Interstate-LightCondense">
    <w:altName w:val="Interstat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GalliardRoman">
    <w:altName w:val="MGalliardRoman"/>
    <w:panose1 w:val="00000000000000000000"/>
    <w:charset w:val="00"/>
    <w:family w:val="roman"/>
    <w:notTrueType/>
    <w:pitch w:val="default"/>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w Cen MT Mi">
    <w:altName w:val="Arial"/>
    <w:charset w:val="00"/>
    <w:family w:val="swiss"/>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ational-Light">
    <w:altName w:val="Arial"/>
    <w:panose1 w:val="00000000000000000000"/>
    <w:charset w:val="EE"/>
    <w:family w:val="swiss"/>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4A" w:rsidRDefault="005D6E4A" w:rsidP="00144C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6E4A" w:rsidRDefault="005D6E4A" w:rsidP="00144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4A" w:rsidRDefault="005D6E4A" w:rsidP="00144C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6E4A" w:rsidRDefault="005D6E4A" w:rsidP="00144C5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4A" w:rsidRPr="005108CB" w:rsidRDefault="005D6E4A" w:rsidP="005108CB">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FAC" w:rsidRDefault="00A27FAC" w:rsidP="00755886">
      <w:r>
        <w:separator/>
      </w:r>
    </w:p>
  </w:footnote>
  <w:footnote w:type="continuationSeparator" w:id="0">
    <w:p w:rsidR="00A27FAC" w:rsidRDefault="00A27FAC" w:rsidP="00755886">
      <w:r>
        <w:continuationSeparator/>
      </w:r>
    </w:p>
  </w:footnote>
  <w:footnote w:id="1">
    <w:p w:rsidR="005D6E4A" w:rsidRPr="006448C2" w:rsidRDefault="005D6E4A">
      <w:pPr>
        <w:pStyle w:val="FootnoteText"/>
      </w:pPr>
      <w:r w:rsidRPr="006448C2">
        <w:rPr>
          <w:rStyle w:val="FootnoteReference"/>
        </w:rPr>
        <w:footnoteRef/>
      </w:r>
      <w:r w:rsidRPr="006448C2">
        <w:t xml:space="preserve"> </w:t>
      </w:r>
      <w:r w:rsidRPr="006448C2">
        <w:tab/>
        <w:t>From the consultation with focus groups as part of the strategic plan development.</w:t>
      </w:r>
    </w:p>
  </w:footnote>
  <w:footnote w:id="2">
    <w:p w:rsidR="005D6E4A" w:rsidRPr="006448C2" w:rsidRDefault="005D6E4A">
      <w:pPr>
        <w:pStyle w:val="FootnoteText"/>
      </w:pPr>
      <w:r w:rsidRPr="006448C2">
        <w:rPr>
          <w:rStyle w:val="FootnoteReference"/>
        </w:rPr>
        <w:footnoteRef/>
      </w:r>
      <w:r w:rsidRPr="006448C2">
        <w:t xml:space="preserve"> </w:t>
      </w:r>
      <w:r w:rsidRPr="006448C2">
        <w:tab/>
        <w:t>See Figures 1 and 2, page 1</w:t>
      </w:r>
      <w:r>
        <w:t>5</w:t>
      </w:r>
      <w:r w:rsidRPr="006448C2">
        <w:t>.</w:t>
      </w:r>
    </w:p>
  </w:footnote>
  <w:footnote w:id="3">
    <w:p w:rsidR="005D6E4A" w:rsidRPr="006448C2" w:rsidRDefault="005D6E4A">
      <w:pPr>
        <w:pStyle w:val="FootnoteText"/>
      </w:pPr>
      <w:r w:rsidRPr="006448C2">
        <w:rPr>
          <w:rStyle w:val="FootnoteReference"/>
        </w:rPr>
        <w:footnoteRef/>
      </w:r>
      <w:r w:rsidRPr="006448C2">
        <w:t xml:space="preserve"> </w:t>
      </w:r>
      <w:r w:rsidRPr="006448C2">
        <w:tab/>
        <w:t xml:space="preserve">The project involves building a new theatre complex in the Wynyard Quarter on Auckland's waterfront. The complex will house a 600-seat theatre, built specifically to showcase theatre and dance, along with a 200-seat flexible studio space, an 80-seat meeting room and gallery, courtyard, bar and café. </w:t>
      </w:r>
    </w:p>
  </w:footnote>
  <w:footnote w:id="4">
    <w:p w:rsidR="005D6E4A" w:rsidRPr="006448C2" w:rsidRDefault="005D6E4A">
      <w:pPr>
        <w:pStyle w:val="FootnoteText"/>
      </w:pPr>
      <w:r w:rsidRPr="006448C2">
        <w:rPr>
          <w:rStyle w:val="FootnoteReference"/>
        </w:rPr>
        <w:footnoteRef/>
      </w:r>
      <w:r w:rsidRPr="006448C2">
        <w:t xml:space="preserve"> </w:t>
      </w:r>
      <w:r w:rsidRPr="006448C2">
        <w:tab/>
        <w:t>Spirit or essence of Māori arts.</w:t>
      </w:r>
    </w:p>
  </w:footnote>
  <w:footnote w:id="5">
    <w:p w:rsidR="005D6E4A" w:rsidRPr="006448C2" w:rsidRDefault="005D6E4A" w:rsidP="00D94CDC">
      <w:pPr>
        <w:pStyle w:val="FootnoteText"/>
      </w:pPr>
      <w:r w:rsidRPr="006448C2">
        <w:rPr>
          <w:rStyle w:val="FootnoteReference"/>
        </w:rPr>
        <w:footnoteRef/>
      </w:r>
      <w:r w:rsidRPr="006448C2">
        <w:t xml:space="preserve"> </w:t>
      </w:r>
      <w:r w:rsidRPr="006448C2">
        <w:tab/>
        <w:t xml:space="preserve">See </w:t>
      </w:r>
      <w:r w:rsidRPr="00203B9F">
        <w:t xml:space="preserve">Figure 22 on page </w:t>
      </w:r>
      <w:r>
        <w:t>45</w:t>
      </w:r>
      <w:r w:rsidRPr="006448C2">
        <w:t xml:space="preserve"> for the 2012/13 distribution of funding between programmes.</w:t>
      </w:r>
    </w:p>
  </w:footnote>
  <w:footnote w:id="6">
    <w:p w:rsidR="005D6E4A" w:rsidRPr="006448C2" w:rsidRDefault="005D6E4A" w:rsidP="004F7178">
      <w:pPr>
        <w:pStyle w:val="FootnoteText"/>
      </w:pPr>
      <w:r w:rsidRPr="006448C2">
        <w:rPr>
          <w:rStyle w:val="FootnoteReference"/>
        </w:rPr>
        <w:footnoteRef/>
      </w:r>
      <w:r w:rsidRPr="006448C2">
        <w:t xml:space="preserve"> </w:t>
      </w:r>
      <w:r w:rsidRPr="006448C2">
        <w:tab/>
        <w:t>The organisations funded to tour work are recorded as ‘national’ and grants to individuals and organisations to work internationally are recorded as ‘overseas’.</w:t>
      </w:r>
    </w:p>
  </w:footnote>
  <w:footnote w:id="7">
    <w:p w:rsidR="005D6E4A" w:rsidRPr="006448C2" w:rsidRDefault="005D6E4A" w:rsidP="00692C29">
      <w:pPr>
        <w:pStyle w:val="FootnoteText"/>
      </w:pPr>
      <w:r w:rsidRPr="006448C2">
        <w:rPr>
          <w:rStyle w:val="FootnoteReference"/>
        </w:rPr>
        <w:footnoteRef/>
      </w:r>
      <w:r w:rsidRPr="006448C2">
        <w:t xml:space="preserve"> </w:t>
      </w:r>
      <w:r w:rsidRPr="006448C2">
        <w:tab/>
        <w:t>Note that the dollar values given in Figures 4 and 5 exclude capability building and advocacy.</w:t>
      </w:r>
    </w:p>
  </w:footnote>
  <w:footnote w:id="8">
    <w:p w:rsidR="005D6E4A" w:rsidRPr="006448C2" w:rsidRDefault="005D6E4A">
      <w:pPr>
        <w:pStyle w:val="FootnoteText"/>
      </w:pPr>
      <w:r w:rsidRPr="006448C2">
        <w:rPr>
          <w:rStyle w:val="FootnoteReference"/>
        </w:rPr>
        <w:footnoteRef/>
      </w:r>
      <w:r w:rsidRPr="006448C2">
        <w:t xml:space="preserve"> </w:t>
      </w:r>
      <w:r w:rsidRPr="006448C2">
        <w:tab/>
        <w:t>Excluding film.</w:t>
      </w:r>
    </w:p>
  </w:footnote>
  <w:footnote w:id="9">
    <w:p w:rsidR="005D6E4A" w:rsidRPr="006448C2" w:rsidRDefault="005D6E4A">
      <w:pPr>
        <w:pStyle w:val="FootnoteText"/>
      </w:pPr>
      <w:r w:rsidRPr="006448C2">
        <w:rPr>
          <w:rStyle w:val="FootnoteReference"/>
        </w:rPr>
        <w:footnoteRef/>
      </w:r>
      <w:r w:rsidRPr="006448C2">
        <w:t xml:space="preserve"> </w:t>
      </w:r>
      <w:r w:rsidRPr="006448C2">
        <w:tab/>
        <w:t>Subject to the passage of the Arts Council of New Zealand Toi Aotearoa Bill, currently before Parliament.</w:t>
      </w:r>
    </w:p>
  </w:footnote>
  <w:footnote w:id="10">
    <w:p w:rsidR="005D6E4A" w:rsidRPr="006448C2" w:rsidRDefault="005D6E4A" w:rsidP="0031262E">
      <w:pPr>
        <w:pStyle w:val="FootnoteArial10"/>
      </w:pPr>
      <w:r w:rsidRPr="006448C2">
        <w:rPr>
          <w:rStyle w:val="FootnoteReference"/>
        </w:rPr>
        <w:footnoteRef/>
      </w:r>
      <w:r w:rsidRPr="006448C2">
        <w:t xml:space="preserve"> </w:t>
      </w:r>
      <w:r w:rsidRPr="006448C2">
        <w:tab/>
        <w:t>Provision for artists who are not connected to the internet will be made in the new system.</w:t>
      </w:r>
    </w:p>
  </w:footnote>
  <w:footnote w:id="11">
    <w:p w:rsidR="005D6E4A" w:rsidRPr="00481AE4" w:rsidRDefault="005D6E4A" w:rsidP="00481AE4">
      <w:pPr>
        <w:pStyle w:val="FootnoteArial10"/>
        <w:rPr>
          <w:lang w:val="mi-NZ"/>
        </w:rPr>
      </w:pPr>
      <w:r>
        <w:rPr>
          <w:rStyle w:val="FootnoteReference"/>
        </w:rPr>
        <w:footnoteRef/>
      </w:r>
      <w:r>
        <w:t xml:space="preserve"> </w:t>
      </w:r>
      <w:r>
        <w:tab/>
        <w:t>See the Proof of performance tables for each Outcome.</w:t>
      </w:r>
    </w:p>
  </w:footnote>
  <w:footnote w:id="12">
    <w:p w:rsidR="005D6E4A" w:rsidRPr="006448C2" w:rsidRDefault="005D6E4A" w:rsidP="003027E3">
      <w:pPr>
        <w:pStyle w:val="FootnoteText"/>
      </w:pPr>
      <w:r w:rsidRPr="006448C2">
        <w:rPr>
          <w:rStyle w:val="FootnoteReference"/>
        </w:rPr>
        <w:footnoteRef/>
      </w:r>
      <w:r w:rsidRPr="006448C2">
        <w:t xml:space="preserve"> </w:t>
      </w:r>
      <w:r w:rsidRPr="006448C2">
        <w:tab/>
        <w:t xml:space="preserve">The dollar values for expenditure given by </w:t>
      </w:r>
      <w:r>
        <w:t>o</w:t>
      </w:r>
      <w:r w:rsidRPr="006448C2">
        <w:t>utcome vary slightly from those in the financial statements because of different ways of reporting.</w:t>
      </w:r>
      <w:r>
        <w:t xml:space="preserve"> ‘RFO’s’ refers to the former Recurrently Funded Organisations.</w:t>
      </w:r>
    </w:p>
  </w:footnote>
  <w:footnote w:id="13">
    <w:p w:rsidR="005D6E4A" w:rsidRPr="006448C2" w:rsidRDefault="005D6E4A">
      <w:pPr>
        <w:pStyle w:val="FootnoteText"/>
      </w:pPr>
      <w:r w:rsidRPr="006448C2">
        <w:rPr>
          <w:rStyle w:val="FootnoteReference"/>
        </w:rPr>
        <w:footnoteRef/>
      </w:r>
      <w:r w:rsidRPr="006448C2">
        <w:t xml:space="preserve"> </w:t>
      </w:r>
      <w:r w:rsidRPr="006448C2">
        <w:tab/>
        <w:t>Unless otherwise specified, measures do not include Creative Communities Scheme funding.</w:t>
      </w:r>
      <w:r>
        <w:t xml:space="preserve"> </w:t>
      </w:r>
      <w:r w:rsidRPr="006448C2">
        <w:t>During 2012/13, one of the outcomes of our review of Māori arts (ngā toi Māori) was the change in terminology from Māori heritage arts to Māori customary arts.</w:t>
      </w:r>
    </w:p>
  </w:footnote>
  <w:footnote w:id="14">
    <w:p w:rsidR="005D6E4A" w:rsidRPr="009F7E9F" w:rsidRDefault="005D6E4A" w:rsidP="009F7E9F">
      <w:pPr>
        <w:pStyle w:val="FootnoteArial10"/>
        <w:rPr>
          <w:lang w:val="mi-NZ"/>
        </w:rPr>
      </w:pPr>
      <w:r>
        <w:rPr>
          <w:rStyle w:val="FootnoteReference"/>
        </w:rPr>
        <w:footnoteRef/>
      </w:r>
      <w:r>
        <w:t xml:space="preserve"> </w:t>
      </w:r>
      <w:r>
        <w:rPr>
          <w:lang w:val="mi-NZ"/>
        </w:rPr>
        <w:tab/>
      </w:r>
      <w:r w:rsidRPr="009F7E9F">
        <w:rPr>
          <w:rStyle w:val="apple-style-span"/>
          <w:shd w:val="clear" w:color="auto" w:fill="FFFFFF"/>
        </w:rPr>
        <w:t>Bernadette Rae, N</w:t>
      </w:r>
      <w:r>
        <w:rPr>
          <w:rStyle w:val="apple-style-span"/>
          <w:shd w:val="clear" w:color="auto" w:fill="FFFFFF"/>
        </w:rPr>
        <w:t xml:space="preserve">ew </w:t>
      </w:r>
      <w:r w:rsidRPr="009F7E9F">
        <w:rPr>
          <w:rStyle w:val="apple-style-span"/>
          <w:shd w:val="clear" w:color="auto" w:fill="FFFFFF"/>
        </w:rPr>
        <w:t>Z</w:t>
      </w:r>
      <w:r>
        <w:rPr>
          <w:rStyle w:val="apple-style-span"/>
          <w:shd w:val="clear" w:color="auto" w:fill="FFFFFF"/>
        </w:rPr>
        <w:t>ealand</w:t>
      </w:r>
      <w:r w:rsidRPr="009F7E9F">
        <w:rPr>
          <w:rStyle w:val="apple-style-span"/>
          <w:shd w:val="clear" w:color="auto" w:fill="FFFFFF"/>
        </w:rPr>
        <w:t xml:space="preserve"> Herald, Aug</w:t>
      </w:r>
      <w:r>
        <w:rPr>
          <w:rStyle w:val="apple-style-span"/>
          <w:shd w:val="clear" w:color="auto" w:fill="FFFFFF"/>
        </w:rPr>
        <w:t>ust</w:t>
      </w:r>
      <w:r w:rsidRPr="009F7E9F">
        <w:rPr>
          <w:rStyle w:val="apple-style-span"/>
          <w:shd w:val="clear" w:color="auto" w:fill="FFFFFF"/>
        </w:rPr>
        <w:t xml:space="preserve"> 2013</w:t>
      </w:r>
      <w:r>
        <w:rPr>
          <w:rStyle w:val="apple-style-span"/>
          <w:shd w:val="clear" w:color="auto" w:fill="FFFFFF"/>
        </w:rPr>
        <w:t>.</w:t>
      </w:r>
    </w:p>
  </w:footnote>
  <w:footnote w:id="15">
    <w:p w:rsidR="005D6E4A" w:rsidRPr="006448C2" w:rsidRDefault="005D6E4A" w:rsidP="00C23714">
      <w:pPr>
        <w:pStyle w:val="FootnoteText"/>
        <w:tabs>
          <w:tab w:val="left" w:pos="1985"/>
        </w:tabs>
      </w:pPr>
      <w:r w:rsidRPr="006448C2">
        <w:rPr>
          <w:rStyle w:val="FootnoteReference"/>
        </w:rPr>
        <w:footnoteRef/>
      </w:r>
      <w:r w:rsidRPr="006448C2">
        <w:t xml:space="preserve"> </w:t>
      </w:r>
      <w:r w:rsidRPr="006448C2">
        <w:tab/>
        <w:t xml:space="preserve">The measure in the </w:t>
      </w:r>
      <w:r>
        <w:t>SOI</w:t>
      </w:r>
      <w:r w:rsidRPr="006448C2">
        <w:t xml:space="preserve"> for ‘Producing innovative work’ was to design </w:t>
      </w:r>
      <w:r>
        <w:t>‘</w:t>
      </w:r>
      <w:r w:rsidRPr="006448C2">
        <w:t>a matrix of innovation scores and evaluations</w:t>
      </w:r>
      <w:r>
        <w:t>’</w:t>
      </w:r>
      <w:r w:rsidRPr="006448C2">
        <w:t>. When this was done, no indicative pattern could be established</w:t>
      </w:r>
      <w:r>
        <w:t>,</w:t>
      </w:r>
      <w:r w:rsidRPr="006448C2">
        <w:t xml:space="preserve"> and so the 2011/12 measure of the number of projects was reinstated. However, the pattern of declining numbers of grants under this impact was not reflected in a decreased forecast.</w:t>
      </w:r>
    </w:p>
  </w:footnote>
  <w:footnote w:id="16">
    <w:p w:rsidR="005D6E4A" w:rsidRPr="006448C2" w:rsidRDefault="005D6E4A" w:rsidP="003027E3">
      <w:pPr>
        <w:pStyle w:val="FootnoteText"/>
      </w:pPr>
      <w:r w:rsidRPr="006448C2">
        <w:rPr>
          <w:rStyle w:val="FootnoteReference"/>
        </w:rPr>
        <w:footnoteRef/>
      </w:r>
      <w:r w:rsidRPr="006448C2">
        <w:t xml:space="preserve"> </w:t>
      </w:r>
      <w:r w:rsidRPr="006448C2">
        <w:tab/>
        <w:t>Based on comparison of the 2012 and 2013 self-assessments from the organisation development survey by 22 organisations.</w:t>
      </w:r>
    </w:p>
  </w:footnote>
  <w:footnote w:id="17">
    <w:p w:rsidR="005D6E4A" w:rsidRPr="006448C2" w:rsidRDefault="005D6E4A" w:rsidP="003027E3">
      <w:pPr>
        <w:pStyle w:val="FootnoteText"/>
      </w:pPr>
      <w:r w:rsidRPr="006448C2">
        <w:rPr>
          <w:rStyle w:val="FootnoteReference"/>
        </w:rPr>
        <w:footnoteRef/>
      </w:r>
      <w:r w:rsidRPr="006448C2">
        <w:t xml:space="preserve"> </w:t>
      </w:r>
      <w:r w:rsidRPr="006448C2">
        <w:tab/>
        <w:t xml:space="preserve">This does not include forecast expenditure </w:t>
      </w:r>
      <w:r>
        <w:t>because</w:t>
      </w:r>
      <w:r w:rsidRPr="006448C2">
        <w:t xml:space="preserve"> some rebalancing always takes place between programmes during the year.</w:t>
      </w:r>
    </w:p>
  </w:footnote>
  <w:footnote w:id="18">
    <w:p w:rsidR="005D6E4A" w:rsidRPr="006448C2" w:rsidRDefault="005D6E4A">
      <w:pPr>
        <w:pStyle w:val="FootnoteText"/>
      </w:pPr>
      <w:r w:rsidRPr="006448C2">
        <w:rPr>
          <w:rStyle w:val="FootnoteReference"/>
        </w:rPr>
        <w:footnoteRef/>
      </w:r>
      <w:r w:rsidRPr="006448C2">
        <w:t xml:space="preserve"> </w:t>
      </w:r>
      <w:r w:rsidRPr="006448C2">
        <w:tab/>
        <w:t xml:space="preserve">The funding expenditure figure on Table 6 differs from the totals of </w:t>
      </w:r>
      <w:r>
        <w:t xml:space="preserve">Figures 4 to 6, 12, 15 and 22, and </w:t>
      </w:r>
      <w:r w:rsidRPr="006448C2">
        <w:t xml:space="preserve">tables 7 to 10 owing to a different treatment of $54,811 between the </w:t>
      </w:r>
      <w:r>
        <w:t xml:space="preserve">outcomes and </w:t>
      </w:r>
      <w:r w:rsidRPr="006448C2">
        <w:t>output areas and the financial statements.</w:t>
      </w:r>
    </w:p>
  </w:footnote>
  <w:footnote w:id="19">
    <w:p w:rsidR="005D6E4A" w:rsidRPr="006448C2" w:rsidRDefault="005D6E4A" w:rsidP="003027E3">
      <w:pPr>
        <w:pStyle w:val="FootnoteText"/>
      </w:pPr>
      <w:r w:rsidRPr="006448C2">
        <w:rPr>
          <w:rStyle w:val="FootnoteReference"/>
        </w:rPr>
        <w:footnoteRef/>
      </w:r>
      <w:r w:rsidRPr="006448C2">
        <w:tab/>
        <w:t xml:space="preserve">Available from </w:t>
      </w:r>
      <w:hyperlink r:id="rId1" w:history="1">
        <w:r w:rsidRPr="006448C2">
          <w:rPr>
            <w:rStyle w:val="Hyperlink"/>
          </w:rPr>
          <w:t>www.creativenz.govt.nz</w:t>
        </w:r>
      </w:hyperlink>
      <w:r w:rsidRPr="006448C2">
        <w:t xml:space="preserve">. </w:t>
      </w:r>
    </w:p>
  </w:footnote>
  <w:footnote w:id="20">
    <w:p w:rsidR="005D6E4A" w:rsidRPr="006448C2" w:rsidRDefault="005D6E4A" w:rsidP="003027E3">
      <w:pPr>
        <w:pStyle w:val="FootnoteText"/>
      </w:pPr>
      <w:r w:rsidRPr="006448C2">
        <w:rPr>
          <w:rStyle w:val="FootnoteReference"/>
        </w:rPr>
        <w:footnoteRef/>
      </w:r>
      <w:r w:rsidRPr="006448C2">
        <w:tab/>
        <w:t>Funding from the former Arts and Sector Investment (Grants Funding) has also been incorporated into the new programmes.</w:t>
      </w:r>
    </w:p>
  </w:footnote>
  <w:footnote w:id="21">
    <w:p w:rsidR="005D6E4A" w:rsidRPr="006448C2" w:rsidRDefault="005D6E4A" w:rsidP="003027E3">
      <w:pPr>
        <w:pStyle w:val="FootnoteText"/>
      </w:pPr>
      <w:r w:rsidRPr="006448C2">
        <w:rPr>
          <w:rStyle w:val="FootnoteReference"/>
        </w:rPr>
        <w:footnoteRef/>
      </w:r>
      <w:r w:rsidRPr="006448C2">
        <w:t xml:space="preserve"> </w:t>
      </w:r>
      <w:r w:rsidRPr="006448C2">
        <w:tab/>
        <w:t>The structure of the outputs and performance measures in this section was improved between 2009/10 and 2010/11. Consequently, some of the comparative performance information and figures for 2009/10 have not been audited in this format and are presented for trend analysis only.</w:t>
      </w:r>
    </w:p>
  </w:footnote>
  <w:footnote w:id="22">
    <w:p w:rsidR="005D6E4A" w:rsidRPr="006448C2" w:rsidRDefault="005D6E4A" w:rsidP="003027E3">
      <w:pPr>
        <w:pStyle w:val="FootnoteText"/>
      </w:pPr>
      <w:r w:rsidRPr="006448C2">
        <w:rPr>
          <w:rStyle w:val="FootnoteReference"/>
        </w:rPr>
        <w:footnoteRef/>
      </w:r>
      <w:r w:rsidRPr="006448C2">
        <w:t xml:space="preserve"> </w:t>
      </w:r>
      <w:r w:rsidRPr="006448C2">
        <w:tab/>
        <w:t xml:space="preserve">International </w:t>
      </w:r>
      <w:r>
        <w:t>presentation and events</w:t>
      </w:r>
      <w:r w:rsidRPr="006448C2">
        <w:t xml:space="preserve"> does not include grants awarded through the Arts Grants and Quick Response application processes for projects undertaken overseas, or overseas special opportunities – these are reported under Grants funding.</w:t>
      </w:r>
    </w:p>
  </w:footnote>
  <w:footnote w:id="23">
    <w:p w:rsidR="005D6E4A" w:rsidRPr="006448C2" w:rsidRDefault="005D6E4A">
      <w:pPr>
        <w:pStyle w:val="FootnoteText"/>
      </w:pPr>
      <w:r w:rsidRPr="006448C2">
        <w:rPr>
          <w:rStyle w:val="FootnoteReference"/>
        </w:rPr>
        <w:footnoteRef/>
      </w:r>
      <w:r w:rsidRPr="006448C2">
        <w:t xml:space="preserve"> </w:t>
      </w:r>
      <w:r w:rsidRPr="006448C2">
        <w:tab/>
        <w:t>Experiential cap</w:t>
      </w:r>
      <w:r>
        <w:t>ability building includes attendance at selected international markets and fairs and participation in Te Manu Ka Tau, a programme that brings selected overseas agents and experts to New Zealand.</w:t>
      </w:r>
    </w:p>
  </w:footnote>
  <w:footnote w:id="24">
    <w:p w:rsidR="005D6E4A" w:rsidRPr="006448C2" w:rsidRDefault="005D6E4A" w:rsidP="003027E3">
      <w:pPr>
        <w:pStyle w:val="FootnoteText"/>
      </w:pPr>
      <w:r w:rsidRPr="006448C2">
        <w:rPr>
          <w:rStyle w:val="FootnoteReference"/>
        </w:rPr>
        <w:footnoteRef/>
      </w:r>
      <w:r w:rsidRPr="006448C2">
        <w:t xml:space="preserve"> </w:t>
      </w:r>
      <w:r w:rsidRPr="006448C2">
        <w:tab/>
        <w:t xml:space="preserve">All reports and papers are available from </w:t>
      </w:r>
      <w:hyperlink r:id="rId2" w:history="1">
        <w:r w:rsidRPr="006448C2">
          <w:rPr>
            <w:rStyle w:val="Hyperlink"/>
          </w:rPr>
          <w:t>www.creativenz.govt.nz</w:t>
        </w:r>
      </w:hyperlink>
      <w:r w:rsidRPr="006448C2">
        <w:t xml:space="preserve">. </w:t>
      </w:r>
    </w:p>
  </w:footnote>
  <w:footnote w:id="25">
    <w:p w:rsidR="005D6E4A" w:rsidRPr="006448C2" w:rsidRDefault="005D6E4A">
      <w:pPr>
        <w:pStyle w:val="FootnoteText"/>
      </w:pPr>
      <w:r w:rsidRPr="006448C2">
        <w:rPr>
          <w:rStyle w:val="FootnoteReference"/>
        </w:rPr>
        <w:footnoteRef/>
      </w:r>
      <w:r w:rsidRPr="006448C2">
        <w:t xml:space="preserve"> </w:t>
      </w:r>
      <w:r w:rsidRPr="006448C2">
        <w:tab/>
        <w:t>AA refers to the counterparties’ Standard and Poor’s credit rating.</w:t>
      </w:r>
    </w:p>
  </w:footnote>
  <w:footnote w:id="26">
    <w:p w:rsidR="005D6E4A" w:rsidRPr="006448C2" w:rsidRDefault="005D6E4A" w:rsidP="00194037">
      <w:pPr>
        <w:pStyle w:val="FootnoteText"/>
      </w:pPr>
      <w:r w:rsidRPr="006448C2">
        <w:rPr>
          <w:rStyle w:val="FootnoteReference"/>
        </w:rPr>
        <w:footnoteRef/>
      </w:r>
      <w:r w:rsidRPr="006448C2">
        <w:t xml:space="preserve"> </w:t>
      </w:r>
      <w:r w:rsidRPr="006448C2">
        <w:tab/>
        <w:t>Section 4 of the Act.</w:t>
      </w:r>
    </w:p>
  </w:footnote>
  <w:footnote w:id="27">
    <w:p w:rsidR="005D6E4A" w:rsidRPr="006448C2" w:rsidRDefault="005D6E4A" w:rsidP="00194037">
      <w:pPr>
        <w:pStyle w:val="FootnoteText"/>
      </w:pPr>
      <w:r w:rsidRPr="006448C2">
        <w:rPr>
          <w:rStyle w:val="FootnoteReference"/>
        </w:rPr>
        <w:footnoteRef/>
      </w:r>
      <w:r w:rsidRPr="006448C2">
        <w:rPr>
          <w:i/>
        </w:rPr>
        <w:tab/>
      </w:r>
      <w:r w:rsidRPr="006448C2">
        <w:t xml:space="preserve">Available at </w:t>
      </w:r>
      <w:hyperlink r:id="rId3" w:history="1">
        <w:r w:rsidRPr="006448C2">
          <w:rPr>
            <w:rStyle w:val="Hyperlink"/>
          </w:rPr>
          <w:t>www.creativenz.govt.nz</w:t>
        </w:r>
      </w:hyperlink>
      <w:r w:rsidRPr="006448C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4A" w:rsidRPr="009A57B2" w:rsidRDefault="005D6E4A" w:rsidP="006E1FE0">
    <w:pPr>
      <w:pStyle w:val="Header"/>
      <w:jc w:val="right"/>
      <w:rPr>
        <w:sz w:val="20"/>
        <w:szCs w:val="20"/>
      </w:rPr>
    </w:pPr>
    <w:r w:rsidRPr="009A57B2">
      <w:rPr>
        <w:rStyle w:val="PageNumber"/>
        <w:sz w:val="20"/>
        <w:szCs w:val="20"/>
      </w:rPr>
      <w:fldChar w:fldCharType="begin"/>
    </w:r>
    <w:r w:rsidRPr="009A57B2">
      <w:rPr>
        <w:rStyle w:val="PageNumber"/>
        <w:sz w:val="20"/>
        <w:szCs w:val="20"/>
      </w:rPr>
      <w:instrText xml:space="preserve"> PAGE </w:instrText>
    </w:r>
    <w:r w:rsidRPr="009A57B2">
      <w:rPr>
        <w:rStyle w:val="PageNumber"/>
        <w:sz w:val="20"/>
        <w:szCs w:val="20"/>
      </w:rPr>
      <w:fldChar w:fldCharType="separate"/>
    </w:r>
    <w:r w:rsidR="00BD2CE6">
      <w:rPr>
        <w:rStyle w:val="PageNumber"/>
        <w:noProof/>
        <w:sz w:val="20"/>
        <w:szCs w:val="20"/>
      </w:rPr>
      <w:t>17</w:t>
    </w:r>
    <w:r w:rsidRPr="009A57B2">
      <w:rPr>
        <w:rStyle w:val="PageNumber"/>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020622"/>
      <w:docPartObj>
        <w:docPartGallery w:val="Page Numbers (Top of Page)"/>
        <w:docPartUnique/>
      </w:docPartObj>
    </w:sdtPr>
    <w:sdtEndPr>
      <w:rPr>
        <w:noProof/>
      </w:rPr>
    </w:sdtEndPr>
    <w:sdtContent>
      <w:p w:rsidR="005D6E4A" w:rsidRDefault="005D6E4A">
        <w:pPr>
          <w:pStyle w:val="Header"/>
          <w:jc w:val="right"/>
        </w:pPr>
        <w:r>
          <w:fldChar w:fldCharType="begin"/>
        </w:r>
        <w:r>
          <w:instrText xml:space="preserve"> PAGE   \* MERGEFORMAT </w:instrText>
        </w:r>
        <w:r>
          <w:fldChar w:fldCharType="separate"/>
        </w:r>
        <w:r w:rsidR="00D61CBF">
          <w:rPr>
            <w:noProof/>
          </w:rPr>
          <w:t>36</w:t>
        </w:r>
        <w:r>
          <w:rPr>
            <w:noProof/>
          </w:rPr>
          <w:fldChar w:fldCharType="end"/>
        </w:r>
      </w:p>
    </w:sdtContent>
  </w:sdt>
  <w:p w:rsidR="005D6E4A" w:rsidRPr="009A57B2" w:rsidRDefault="005D6E4A" w:rsidP="006E1FE0">
    <w:pPr>
      <w:pStyle w:val="Header"/>
      <w:jc w:val="righ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587AF8"/>
    <w:lvl w:ilvl="0">
      <w:start w:val="1"/>
      <w:numFmt w:val="decimal"/>
      <w:lvlText w:val="%1."/>
      <w:lvlJc w:val="left"/>
      <w:pPr>
        <w:tabs>
          <w:tab w:val="num" w:pos="1492"/>
        </w:tabs>
        <w:ind w:left="1492" w:hanging="360"/>
      </w:pPr>
    </w:lvl>
  </w:abstractNum>
  <w:abstractNum w:abstractNumId="1">
    <w:nsid w:val="FFFFFF7D"/>
    <w:multiLevelType w:val="singleLevel"/>
    <w:tmpl w:val="765ACD7C"/>
    <w:lvl w:ilvl="0">
      <w:start w:val="1"/>
      <w:numFmt w:val="decimal"/>
      <w:lvlText w:val="%1."/>
      <w:lvlJc w:val="left"/>
      <w:pPr>
        <w:tabs>
          <w:tab w:val="num" w:pos="1209"/>
        </w:tabs>
        <w:ind w:left="1209" w:hanging="360"/>
      </w:pPr>
    </w:lvl>
  </w:abstractNum>
  <w:abstractNum w:abstractNumId="2">
    <w:nsid w:val="FFFFFF7E"/>
    <w:multiLevelType w:val="singleLevel"/>
    <w:tmpl w:val="8F763992"/>
    <w:lvl w:ilvl="0">
      <w:start w:val="1"/>
      <w:numFmt w:val="decimal"/>
      <w:lvlText w:val="%1."/>
      <w:lvlJc w:val="left"/>
      <w:pPr>
        <w:tabs>
          <w:tab w:val="num" w:pos="926"/>
        </w:tabs>
        <w:ind w:left="926" w:hanging="360"/>
      </w:pPr>
    </w:lvl>
  </w:abstractNum>
  <w:abstractNum w:abstractNumId="3">
    <w:nsid w:val="FFFFFF7F"/>
    <w:multiLevelType w:val="singleLevel"/>
    <w:tmpl w:val="5E4A90BE"/>
    <w:lvl w:ilvl="0">
      <w:start w:val="1"/>
      <w:numFmt w:val="decimal"/>
      <w:lvlText w:val="%1."/>
      <w:lvlJc w:val="left"/>
      <w:pPr>
        <w:tabs>
          <w:tab w:val="num" w:pos="643"/>
        </w:tabs>
        <w:ind w:left="643" w:hanging="360"/>
      </w:pPr>
    </w:lvl>
  </w:abstractNum>
  <w:abstractNum w:abstractNumId="4">
    <w:nsid w:val="FFFFFF80"/>
    <w:multiLevelType w:val="singleLevel"/>
    <w:tmpl w:val="740212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7078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8E7E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8E75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6E6DA0"/>
    <w:lvl w:ilvl="0">
      <w:start w:val="1"/>
      <w:numFmt w:val="decimal"/>
      <w:lvlText w:val="%1."/>
      <w:lvlJc w:val="left"/>
      <w:pPr>
        <w:tabs>
          <w:tab w:val="num" w:pos="360"/>
        </w:tabs>
        <w:ind w:left="360" w:hanging="360"/>
      </w:pPr>
    </w:lvl>
  </w:abstractNum>
  <w:abstractNum w:abstractNumId="9">
    <w:nsid w:val="03CA0BAE"/>
    <w:multiLevelType w:val="hybridMultilevel"/>
    <w:tmpl w:val="22E05E22"/>
    <w:lvl w:ilvl="0" w:tplc="7B90C67C">
      <w:start w:val="1"/>
      <w:numFmt w:val="bullet"/>
      <w:pStyle w:val="ANZBulletLevel1"/>
      <w:lvlText w:val=""/>
      <w:lvlJc w:val="left"/>
      <w:pPr>
        <w:tabs>
          <w:tab w:val="num" w:pos="851"/>
        </w:tabs>
        <w:ind w:left="851" w:hanging="851"/>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74C1CA6"/>
    <w:multiLevelType w:val="hybridMultilevel"/>
    <w:tmpl w:val="6D12EA7A"/>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1">
    <w:nsid w:val="09EB1E99"/>
    <w:multiLevelType w:val="hybridMultilevel"/>
    <w:tmpl w:val="2B04C60C"/>
    <w:lvl w:ilvl="0" w:tplc="1D663768">
      <w:start w:val="1"/>
      <w:numFmt w:val="bullet"/>
      <w:pStyle w:val="Bullet2"/>
      <w:lvlText w:val="o"/>
      <w:lvlJc w:val="left"/>
      <w:pPr>
        <w:ind w:left="1344" w:hanging="360"/>
      </w:pPr>
      <w:rPr>
        <w:rFonts w:ascii="Courier New" w:hAnsi="Courier New" w:hint="default"/>
      </w:rPr>
    </w:lvl>
    <w:lvl w:ilvl="1" w:tplc="A6A0DA38">
      <w:numFmt w:val="bullet"/>
      <w:lvlText w:val="•"/>
      <w:lvlJc w:val="left"/>
      <w:pPr>
        <w:tabs>
          <w:tab w:val="num" w:pos="1701"/>
        </w:tabs>
        <w:ind w:left="1701" w:hanging="567"/>
      </w:pPr>
      <w:rPr>
        <w:rFonts w:ascii="Arial" w:eastAsia="Times New Roman" w:hAnsi="Arial"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12">
    <w:nsid w:val="0A2C6799"/>
    <w:multiLevelType w:val="hybridMultilevel"/>
    <w:tmpl w:val="9B9883D0"/>
    <w:lvl w:ilvl="0" w:tplc="73AE41D6">
      <w:start w:val="1"/>
      <w:numFmt w:val="bullet"/>
      <w:pStyle w:val="ListBullet"/>
      <w:lvlText w:val=""/>
      <w:lvlJc w:val="left"/>
      <w:pPr>
        <w:tabs>
          <w:tab w:val="num" w:pos="720"/>
        </w:tabs>
        <w:ind w:left="64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AAF0D9B"/>
    <w:multiLevelType w:val="hybridMultilevel"/>
    <w:tmpl w:val="FEBAAF80"/>
    <w:lvl w:ilvl="0" w:tplc="15A82050">
      <w:start w:val="1"/>
      <w:numFmt w:val="decimal"/>
      <w:lvlText w:val="%1."/>
      <w:lvlJc w:val="left"/>
      <w:pPr>
        <w:tabs>
          <w:tab w:val="num" w:pos="567"/>
        </w:tabs>
        <w:ind w:left="567" w:hanging="567"/>
      </w:pPr>
      <w:rPr>
        <w:rFonts w:hint="default"/>
      </w:r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4">
    <w:nsid w:val="0CB2364C"/>
    <w:multiLevelType w:val="hybridMultilevel"/>
    <w:tmpl w:val="D72C7538"/>
    <w:lvl w:ilvl="0" w:tplc="5CBAC22E">
      <w:start w:val="2"/>
      <w:numFmt w:val="bullet"/>
      <w:lvlText w:val="-"/>
      <w:lvlJc w:val="left"/>
      <w:pPr>
        <w:ind w:left="927" w:hanging="360"/>
      </w:pPr>
      <w:rPr>
        <w:rFonts w:ascii="Book Antiqua" w:eastAsia="Times New Roman" w:hAnsi="Book Antiqua" w:cs="Times New Roman"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5">
    <w:nsid w:val="0E520268"/>
    <w:multiLevelType w:val="hybridMultilevel"/>
    <w:tmpl w:val="DD42E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EA5799F"/>
    <w:multiLevelType w:val="hybridMultilevel"/>
    <w:tmpl w:val="11B6F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F6301F9"/>
    <w:multiLevelType w:val="hybridMultilevel"/>
    <w:tmpl w:val="A9689CBE"/>
    <w:lvl w:ilvl="0" w:tplc="1409000F">
      <w:start w:val="1"/>
      <w:numFmt w:val="decimal"/>
      <w:lvlText w:val="%1."/>
      <w:lvlJc w:val="left"/>
      <w:pPr>
        <w:tabs>
          <w:tab w:val="num" w:pos="511"/>
        </w:tabs>
        <w:ind w:left="511" w:hanging="511"/>
      </w:pPr>
      <w:rPr>
        <w:rFonts w:hint="default"/>
        <w:color w:val="auto"/>
        <w:sz w:val="24"/>
        <w:szCs w:val="24"/>
      </w:rPr>
    </w:lvl>
    <w:lvl w:ilvl="1" w:tplc="14090003">
      <w:start w:val="1"/>
      <w:numFmt w:val="bullet"/>
      <w:lvlText w:val="o"/>
      <w:lvlJc w:val="left"/>
      <w:pPr>
        <w:tabs>
          <w:tab w:val="num" w:pos="1134"/>
        </w:tabs>
        <w:ind w:left="1134" w:hanging="567"/>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12B26A7E"/>
    <w:multiLevelType w:val="hybridMultilevel"/>
    <w:tmpl w:val="D49CE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5966187"/>
    <w:multiLevelType w:val="hybridMultilevel"/>
    <w:tmpl w:val="80A0F180"/>
    <w:lvl w:ilvl="0" w:tplc="13CA7864">
      <w:start w:val="1"/>
      <w:numFmt w:val="bullet"/>
      <w:lvlText w:val=""/>
      <w:lvlJc w:val="left"/>
      <w:pPr>
        <w:tabs>
          <w:tab w:val="num" w:pos="567"/>
        </w:tabs>
        <w:ind w:left="567" w:hanging="51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E892477"/>
    <w:multiLevelType w:val="hybridMultilevel"/>
    <w:tmpl w:val="4A2834D0"/>
    <w:lvl w:ilvl="0" w:tplc="9620D4D6">
      <w:start w:val="1"/>
      <w:numFmt w:val="decimal"/>
      <w:lvlText w:val="%1."/>
      <w:lvlJc w:val="left"/>
      <w:pPr>
        <w:tabs>
          <w:tab w:val="num" w:pos="567"/>
        </w:tabs>
        <w:ind w:left="567" w:hanging="567"/>
      </w:pPr>
      <w:rPr>
        <w:rFonts w:ascii="Book Antiqua" w:hAnsi="Book Antiqua" w:hint="default"/>
        <w:b w:val="0"/>
        <w:sz w:val="22"/>
        <w:szCs w:val="22"/>
      </w:rPr>
    </w:lvl>
    <w:lvl w:ilvl="1" w:tplc="14090001">
      <w:start w:val="1"/>
      <w:numFmt w:val="bullet"/>
      <w:lvlText w:val=""/>
      <w:lvlJc w:val="left"/>
      <w:pPr>
        <w:tabs>
          <w:tab w:val="num" w:pos="1134"/>
        </w:tabs>
        <w:ind w:left="1134" w:hanging="567"/>
      </w:pPr>
      <w:rPr>
        <w:rFonts w:ascii="Symbol" w:hAnsi="Symbol" w:hint="default"/>
        <w:b w:val="0"/>
        <w:i w:val="0"/>
        <w:sz w:val="22"/>
        <w:szCs w:val="22"/>
      </w:rPr>
    </w:lvl>
    <w:lvl w:ilvl="2" w:tplc="1409001B">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1">
    <w:nsid w:val="22CD440C"/>
    <w:multiLevelType w:val="hybridMultilevel"/>
    <w:tmpl w:val="8844170C"/>
    <w:lvl w:ilvl="0" w:tplc="35FA1F48">
      <w:start w:val="1"/>
      <w:numFmt w:val="decimal"/>
      <w:lvlText w:val="%1."/>
      <w:lvlJc w:val="left"/>
      <w:pPr>
        <w:tabs>
          <w:tab w:val="num" w:pos="567"/>
        </w:tabs>
        <w:ind w:left="567" w:hanging="567"/>
      </w:pPr>
      <w:rPr>
        <w:rFonts w:hint="default"/>
        <w:b w:val="0"/>
        <w:bCs w:val="0"/>
        <w:i w:val="0"/>
        <w:iCs w:val="0"/>
      </w:rPr>
    </w:lvl>
    <w:lvl w:ilvl="1" w:tplc="691A8A42">
      <w:start w:val="1"/>
      <w:numFmt w:val="lowerRoman"/>
      <w:lvlText w:val="%2."/>
      <w:lvlJc w:val="left"/>
      <w:pPr>
        <w:tabs>
          <w:tab w:val="num" w:pos="1440"/>
        </w:tabs>
        <w:ind w:left="1440" w:hanging="360"/>
      </w:pPr>
      <w:rPr>
        <w:rFonts w:hint="default"/>
      </w:rPr>
    </w:lvl>
    <w:lvl w:ilvl="2" w:tplc="14090001">
      <w:start w:val="1"/>
      <w:numFmt w:val="bullet"/>
      <w:lvlText w:val=""/>
      <w:lvlJc w:val="left"/>
      <w:pPr>
        <w:tabs>
          <w:tab w:val="num" w:pos="180"/>
        </w:tabs>
        <w:ind w:left="18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2C322302"/>
    <w:multiLevelType w:val="hybridMultilevel"/>
    <w:tmpl w:val="CD56ECA0"/>
    <w:lvl w:ilvl="0" w:tplc="1409000F">
      <w:start w:val="1"/>
      <w:numFmt w:val="bullet"/>
      <w:pStyle w:val="ANZBulletLevel2"/>
      <w:lvlText w:val=""/>
      <w:lvlJc w:val="left"/>
      <w:pPr>
        <w:tabs>
          <w:tab w:val="num" w:pos="1701"/>
        </w:tabs>
        <w:ind w:left="1701" w:hanging="850"/>
      </w:pPr>
      <w:rPr>
        <w:rFonts w:ascii="Wingdings" w:hAnsi="Wingdings" w:hint="default"/>
        <w:b w:val="0"/>
        <w:i w:val="0"/>
        <w:sz w:val="12"/>
      </w:rPr>
    </w:lvl>
    <w:lvl w:ilvl="1" w:tplc="14090019" w:tentative="1">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23">
    <w:nsid w:val="2CFB43FA"/>
    <w:multiLevelType w:val="hybridMultilevel"/>
    <w:tmpl w:val="DA744CE8"/>
    <w:lvl w:ilvl="0" w:tplc="D75432C6">
      <w:start w:val="1"/>
      <w:numFmt w:val="bullet"/>
      <w:lvlText w:val=""/>
      <w:lvlJc w:val="left"/>
      <w:pPr>
        <w:tabs>
          <w:tab w:val="num" w:pos="777"/>
        </w:tabs>
        <w:ind w:left="720" w:hanging="453"/>
      </w:pPr>
      <w:rPr>
        <w:rFonts w:ascii="Symbol" w:hAnsi="Symbol" w:hint="default"/>
      </w:rPr>
    </w:lvl>
    <w:lvl w:ilvl="1" w:tplc="14090003">
      <w:start w:val="1"/>
      <w:numFmt w:val="bullet"/>
      <w:lvlText w:val="o"/>
      <w:lvlJc w:val="left"/>
      <w:pPr>
        <w:ind w:left="1650" w:hanging="360"/>
      </w:pPr>
      <w:rPr>
        <w:rFonts w:ascii="Courier New" w:hAnsi="Courier New" w:cs="Courier New" w:hint="default"/>
      </w:rPr>
    </w:lvl>
    <w:lvl w:ilvl="2" w:tplc="14090005" w:tentative="1">
      <w:start w:val="1"/>
      <w:numFmt w:val="bullet"/>
      <w:lvlText w:val=""/>
      <w:lvlJc w:val="left"/>
      <w:pPr>
        <w:ind w:left="2370" w:hanging="360"/>
      </w:pPr>
      <w:rPr>
        <w:rFonts w:ascii="Wingdings" w:hAnsi="Wingdings" w:hint="default"/>
      </w:rPr>
    </w:lvl>
    <w:lvl w:ilvl="3" w:tplc="14090001" w:tentative="1">
      <w:start w:val="1"/>
      <w:numFmt w:val="bullet"/>
      <w:lvlText w:val=""/>
      <w:lvlJc w:val="left"/>
      <w:pPr>
        <w:ind w:left="3090" w:hanging="360"/>
      </w:pPr>
      <w:rPr>
        <w:rFonts w:ascii="Symbol" w:hAnsi="Symbo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abstractNum w:abstractNumId="24">
    <w:nsid w:val="30660670"/>
    <w:multiLevelType w:val="hybridMultilevel"/>
    <w:tmpl w:val="48A69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2867914"/>
    <w:multiLevelType w:val="hybridMultilevel"/>
    <w:tmpl w:val="1214EFD6"/>
    <w:lvl w:ilvl="0" w:tplc="6B3C5E08">
      <w:start w:val="1"/>
      <w:numFmt w:val="bullet"/>
      <w:pStyle w:val="Bullet"/>
      <w:lvlText w:val=""/>
      <w:lvlJc w:val="left"/>
      <w:pPr>
        <w:tabs>
          <w:tab w:val="num" w:pos="511"/>
        </w:tabs>
        <w:ind w:left="511" w:hanging="511"/>
      </w:pPr>
      <w:rPr>
        <w:rFonts w:ascii="Symbol" w:hAnsi="Symbol" w:hint="default"/>
        <w:color w:val="auto"/>
        <w:sz w:val="24"/>
        <w:szCs w:val="24"/>
      </w:rPr>
    </w:lvl>
    <w:lvl w:ilvl="1" w:tplc="14090003">
      <w:start w:val="1"/>
      <w:numFmt w:val="bullet"/>
      <w:lvlText w:val="o"/>
      <w:lvlJc w:val="left"/>
      <w:pPr>
        <w:tabs>
          <w:tab w:val="num" w:pos="1134"/>
        </w:tabs>
        <w:ind w:left="1134" w:hanging="567"/>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nsid w:val="33DA5E8B"/>
    <w:multiLevelType w:val="singleLevel"/>
    <w:tmpl w:val="C8F030DA"/>
    <w:lvl w:ilvl="0">
      <w:start w:val="1"/>
      <w:numFmt w:val="bullet"/>
      <w:pStyle w:val="1CMBULLET-LEVEL2"/>
      <w:lvlText w:val=""/>
      <w:lvlJc w:val="left"/>
      <w:pPr>
        <w:tabs>
          <w:tab w:val="num" w:pos="1134"/>
        </w:tabs>
        <w:ind w:left="1134" w:hanging="567"/>
      </w:pPr>
      <w:rPr>
        <w:rFonts w:ascii="Symbol" w:hAnsi="Symbol" w:hint="default"/>
        <w:b w:val="0"/>
        <w:i w:val="0"/>
        <w:sz w:val="14"/>
      </w:rPr>
    </w:lvl>
  </w:abstractNum>
  <w:abstractNum w:abstractNumId="27">
    <w:nsid w:val="34A739B3"/>
    <w:multiLevelType w:val="multilevel"/>
    <w:tmpl w:val="37CCDB14"/>
    <w:lvl w:ilvl="0">
      <w:start w:val="2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7433EC0"/>
    <w:multiLevelType w:val="hybridMultilevel"/>
    <w:tmpl w:val="0480FA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39EE2A06"/>
    <w:multiLevelType w:val="hybridMultilevel"/>
    <w:tmpl w:val="24A65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FF55FA4"/>
    <w:multiLevelType w:val="multilevel"/>
    <w:tmpl w:val="3138ABF0"/>
    <w:lvl w:ilvl="0">
      <w:start w:val="1"/>
      <w:numFmt w:val="bullet"/>
      <w:lvlText w:val=""/>
      <w:lvlJc w:val="left"/>
      <w:pPr>
        <w:ind w:left="851" w:hanging="851"/>
      </w:pPr>
      <w:rPr>
        <w:rFonts w:ascii="Symbol" w:hAnsi="Symbol" w:hint="default"/>
        <w:sz w:val="22"/>
      </w:rPr>
    </w:lvl>
    <w:lvl w:ilvl="1">
      <w:start w:val="1"/>
      <w:numFmt w:val="bullet"/>
      <w:lvlText w:val=""/>
      <w:lvlJc w:val="left"/>
      <w:pPr>
        <w:ind w:left="1701" w:hanging="850"/>
      </w:pPr>
      <w:rPr>
        <w:rFonts w:ascii="Wingdings" w:hAnsi="Wingdings" w:hint="default"/>
        <w:sz w:val="12"/>
      </w:rPr>
    </w:lvl>
    <w:lvl w:ilvl="2">
      <w:start w:val="1"/>
      <w:numFmt w:val="bullet"/>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1">
    <w:nsid w:val="41186A02"/>
    <w:multiLevelType w:val="hybridMultilevel"/>
    <w:tmpl w:val="89AE7392"/>
    <w:lvl w:ilvl="0" w:tplc="3AE0F844">
      <w:start w:val="1"/>
      <w:numFmt w:val="bullet"/>
      <w:lvlText w:val=""/>
      <w:lvlJc w:val="left"/>
      <w:pPr>
        <w:ind w:left="1344" w:hanging="360"/>
      </w:pPr>
      <w:rPr>
        <w:rFonts w:ascii="Symbol" w:hAnsi="Symbol" w:hint="default"/>
        <w:sz w:val="20"/>
        <w:szCs w:val="20"/>
      </w:rPr>
    </w:lvl>
    <w:lvl w:ilvl="1" w:tplc="14090003" w:tentative="1">
      <w:start w:val="1"/>
      <w:numFmt w:val="bullet"/>
      <w:lvlText w:val="o"/>
      <w:lvlJc w:val="left"/>
      <w:pPr>
        <w:ind w:left="2064" w:hanging="360"/>
      </w:pPr>
      <w:rPr>
        <w:rFonts w:ascii="Courier New" w:hAnsi="Courier New" w:cs="Courier New"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32">
    <w:nsid w:val="46B66E8A"/>
    <w:multiLevelType w:val="hybridMultilevel"/>
    <w:tmpl w:val="FFD4F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7997656"/>
    <w:multiLevelType w:val="singleLevel"/>
    <w:tmpl w:val="14904F9E"/>
    <w:lvl w:ilvl="0">
      <w:start w:val="1"/>
      <w:numFmt w:val="bullet"/>
      <w:pStyle w:val="Bullet-Level3"/>
      <w:lvlText w:val=""/>
      <w:lvlJc w:val="left"/>
      <w:pPr>
        <w:ind w:left="1494" w:hanging="360"/>
      </w:pPr>
      <w:rPr>
        <w:rFonts w:ascii="Symbol" w:hAnsi="Symbol" w:hint="default"/>
        <w:b w:val="0"/>
        <w:i w:val="0"/>
        <w:sz w:val="16"/>
      </w:rPr>
    </w:lvl>
  </w:abstractNum>
  <w:abstractNum w:abstractNumId="34">
    <w:nsid w:val="53A10776"/>
    <w:multiLevelType w:val="hybridMultilevel"/>
    <w:tmpl w:val="C876F1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373741E"/>
    <w:multiLevelType w:val="hybridMultilevel"/>
    <w:tmpl w:val="C4FC90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65651F42"/>
    <w:multiLevelType w:val="hybridMultilevel"/>
    <w:tmpl w:val="DCD42A8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B514C3B"/>
    <w:multiLevelType w:val="hybridMultilevel"/>
    <w:tmpl w:val="86A04CD2"/>
    <w:lvl w:ilvl="0" w:tplc="96F25EE2">
      <w:start w:val="1"/>
      <w:numFmt w:val="bullet"/>
      <w:pStyle w:val="ANZBulletLevel3"/>
      <w:lvlText w:val=""/>
      <w:lvlJc w:val="left"/>
      <w:pPr>
        <w:tabs>
          <w:tab w:val="num" w:pos="2552"/>
        </w:tabs>
        <w:ind w:left="2552" w:hanging="851"/>
      </w:pPr>
      <w:rPr>
        <w:rFonts w:ascii="Symbol" w:hAnsi="Symbol" w:hint="default"/>
        <w:sz w:val="10"/>
      </w:rPr>
    </w:lvl>
    <w:lvl w:ilvl="1" w:tplc="67663A00" w:tentative="1">
      <w:start w:val="1"/>
      <w:numFmt w:val="bullet"/>
      <w:lvlText w:val="o"/>
      <w:lvlJc w:val="left"/>
      <w:pPr>
        <w:tabs>
          <w:tab w:val="num" w:pos="1440"/>
        </w:tabs>
        <w:ind w:left="1440" w:hanging="360"/>
      </w:pPr>
      <w:rPr>
        <w:rFonts w:ascii="Courier New" w:hAnsi="Courier New" w:cs="Courier New" w:hint="default"/>
      </w:rPr>
    </w:lvl>
    <w:lvl w:ilvl="2" w:tplc="7C8EE0CE" w:tentative="1">
      <w:start w:val="1"/>
      <w:numFmt w:val="bullet"/>
      <w:lvlText w:val=""/>
      <w:lvlJc w:val="left"/>
      <w:pPr>
        <w:tabs>
          <w:tab w:val="num" w:pos="2160"/>
        </w:tabs>
        <w:ind w:left="2160" w:hanging="360"/>
      </w:pPr>
      <w:rPr>
        <w:rFonts w:ascii="Wingdings" w:hAnsi="Wingdings" w:hint="default"/>
      </w:rPr>
    </w:lvl>
    <w:lvl w:ilvl="3" w:tplc="009A4BC0" w:tentative="1">
      <w:start w:val="1"/>
      <w:numFmt w:val="bullet"/>
      <w:lvlText w:val=""/>
      <w:lvlJc w:val="left"/>
      <w:pPr>
        <w:tabs>
          <w:tab w:val="num" w:pos="2880"/>
        </w:tabs>
        <w:ind w:left="2880" w:hanging="360"/>
      </w:pPr>
      <w:rPr>
        <w:rFonts w:ascii="Symbol" w:hAnsi="Symbol" w:hint="default"/>
      </w:rPr>
    </w:lvl>
    <w:lvl w:ilvl="4" w:tplc="9768F4A6" w:tentative="1">
      <w:start w:val="1"/>
      <w:numFmt w:val="bullet"/>
      <w:lvlText w:val="o"/>
      <w:lvlJc w:val="left"/>
      <w:pPr>
        <w:tabs>
          <w:tab w:val="num" w:pos="3600"/>
        </w:tabs>
        <w:ind w:left="3600" w:hanging="360"/>
      </w:pPr>
      <w:rPr>
        <w:rFonts w:ascii="Courier New" w:hAnsi="Courier New" w:cs="Courier New" w:hint="default"/>
      </w:rPr>
    </w:lvl>
    <w:lvl w:ilvl="5" w:tplc="27F69228" w:tentative="1">
      <w:start w:val="1"/>
      <w:numFmt w:val="bullet"/>
      <w:lvlText w:val=""/>
      <w:lvlJc w:val="left"/>
      <w:pPr>
        <w:tabs>
          <w:tab w:val="num" w:pos="4320"/>
        </w:tabs>
        <w:ind w:left="4320" w:hanging="360"/>
      </w:pPr>
      <w:rPr>
        <w:rFonts w:ascii="Wingdings" w:hAnsi="Wingdings" w:hint="default"/>
      </w:rPr>
    </w:lvl>
    <w:lvl w:ilvl="6" w:tplc="9C7EF4F0" w:tentative="1">
      <w:start w:val="1"/>
      <w:numFmt w:val="bullet"/>
      <w:lvlText w:val=""/>
      <w:lvlJc w:val="left"/>
      <w:pPr>
        <w:tabs>
          <w:tab w:val="num" w:pos="5040"/>
        </w:tabs>
        <w:ind w:left="5040" w:hanging="360"/>
      </w:pPr>
      <w:rPr>
        <w:rFonts w:ascii="Symbol" w:hAnsi="Symbol" w:hint="default"/>
      </w:rPr>
    </w:lvl>
    <w:lvl w:ilvl="7" w:tplc="20082328" w:tentative="1">
      <w:start w:val="1"/>
      <w:numFmt w:val="bullet"/>
      <w:lvlText w:val="o"/>
      <w:lvlJc w:val="left"/>
      <w:pPr>
        <w:tabs>
          <w:tab w:val="num" w:pos="5760"/>
        </w:tabs>
        <w:ind w:left="5760" w:hanging="360"/>
      </w:pPr>
      <w:rPr>
        <w:rFonts w:ascii="Courier New" w:hAnsi="Courier New" w:cs="Courier New" w:hint="default"/>
      </w:rPr>
    </w:lvl>
    <w:lvl w:ilvl="8" w:tplc="3F782D4A" w:tentative="1">
      <w:start w:val="1"/>
      <w:numFmt w:val="bullet"/>
      <w:lvlText w:val=""/>
      <w:lvlJc w:val="left"/>
      <w:pPr>
        <w:tabs>
          <w:tab w:val="num" w:pos="6480"/>
        </w:tabs>
        <w:ind w:left="6480" w:hanging="360"/>
      </w:pPr>
      <w:rPr>
        <w:rFonts w:ascii="Wingdings" w:hAnsi="Wingdings" w:hint="default"/>
      </w:rPr>
    </w:lvl>
  </w:abstractNum>
  <w:abstractNum w:abstractNumId="38">
    <w:nsid w:val="6E4D4EAE"/>
    <w:multiLevelType w:val="hybridMultilevel"/>
    <w:tmpl w:val="4FEC8F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0A776F7"/>
    <w:multiLevelType w:val="hybridMultilevel"/>
    <w:tmpl w:val="38FC9EE8"/>
    <w:lvl w:ilvl="0" w:tplc="9620D4D6">
      <w:start w:val="1"/>
      <w:numFmt w:val="decimal"/>
      <w:lvlText w:val="%1."/>
      <w:lvlJc w:val="left"/>
      <w:pPr>
        <w:tabs>
          <w:tab w:val="num" w:pos="567"/>
        </w:tabs>
        <w:ind w:left="567" w:hanging="567"/>
      </w:pPr>
      <w:rPr>
        <w:rFonts w:ascii="Book Antiqua" w:hAnsi="Book Antiqua" w:hint="default"/>
        <w:b w:val="0"/>
        <w:sz w:val="22"/>
        <w:szCs w:val="22"/>
      </w:rPr>
    </w:lvl>
    <w:lvl w:ilvl="1" w:tplc="1FB6E6D8">
      <w:start w:val="1"/>
      <w:numFmt w:val="lowerRoman"/>
      <w:lvlText w:val="(%2)"/>
      <w:lvlJc w:val="left"/>
      <w:pPr>
        <w:tabs>
          <w:tab w:val="num" w:pos="1134"/>
        </w:tabs>
        <w:ind w:left="1134" w:hanging="567"/>
      </w:pPr>
      <w:rPr>
        <w:rFonts w:ascii="Book Antiqua" w:hAnsi="Book Antiqua" w:hint="default"/>
        <w:b w:val="0"/>
        <w:i w:val="0"/>
        <w:sz w:val="22"/>
        <w:szCs w:val="22"/>
      </w:rPr>
    </w:lvl>
    <w:lvl w:ilvl="2" w:tplc="1409001B">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0">
    <w:nsid w:val="717602C2"/>
    <w:multiLevelType w:val="hybridMultilevel"/>
    <w:tmpl w:val="D31C69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1">
    <w:nsid w:val="766666D5"/>
    <w:multiLevelType w:val="hybridMultilevel"/>
    <w:tmpl w:val="9296EE8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2">
    <w:nsid w:val="778500AC"/>
    <w:multiLevelType w:val="hybridMultilevel"/>
    <w:tmpl w:val="0450E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F4E254B"/>
    <w:multiLevelType w:val="hybridMultilevel"/>
    <w:tmpl w:val="477019EE"/>
    <w:lvl w:ilvl="0" w:tplc="67AA813A">
      <w:start w:val="1"/>
      <w:numFmt w:val="decimal"/>
      <w:lvlText w:val="%1."/>
      <w:lvlJc w:val="left"/>
      <w:pPr>
        <w:tabs>
          <w:tab w:val="num" w:pos="624"/>
        </w:tabs>
        <w:ind w:left="624" w:hanging="511"/>
      </w:pPr>
      <w:rPr>
        <w:rFonts w:hint="default"/>
      </w:rPr>
    </w:lvl>
    <w:lvl w:ilvl="1" w:tplc="EFF062FE" w:tentative="1">
      <w:start w:val="1"/>
      <w:numFmt w:val="lowerLetter"/>
      <w:lvlText w:val="%2."/>
      <w:lvlJc w:val="left"/>
      <w:pPr>
        <w:ind w:left="1080" w:hanging="360"/>
      </w:pPr>
    </w:lvl>
    <w:lvl w:ilvl="2" w:tplc="22DCD61C" w:tentative="1">
      <w:start w:val="1"/>
      <w:numFmt w:val="lowerRoman"/>
      <w:lvlText w:val="%3."/>
      <w:lvlJc w:val="right"/>
      <w:pPr>
        <w:ind w:left="1800" w:hanging="180"/>
      </w:pPr>
    </w:lvl>
    <w:lvl w:ilvl="3" w:tplc="A3C8B978" w:tentative="1">
      <w:start w:val="1"/>
      <w:numFmt w:val="decimal"/>
      <w:lvlText w:val="%4."/>
      <w:lvlJc w:val="left"/>
      <w:pPr>
        <w:ind w:left="2520" w:hanging="360"/>
      </w:pPr>
    </w:lvl>
    <w:lvl w:ilvl="4" w:tplc="CF6C08E2" w:tentative="1">
      <w:start w:val="1"/>
      <w:numFmt w:val="lowerLetter"/>
      <w:lvlText w:val="%5."/>
      <w:lvlJc w:val="left"/>
      <w:pPr>
        <w:ind w:left="3240" w:hanging="360"/>
      </w:pPr>
    </w:lvl>
    <w:lvl w:ilvl="5" w:tplc="480ED49E" w:tentative="1">
      <w:start w:val="1"/>
      <w:numFmt w:val="lowerRoman"/>
      <w:lvlText w:val="%6."/>
      <w:lvlJc w:val="right"/>
      <w:pPr>
        <w:ind w:left="3960" w:hanging="180"/>
      </w:pPr>
    </w:lvl>
    <w:lvl w:ilvl="6" w:tplc="568CA3A4" w:tentative="1">
      <w:start w:val="1"/>
      <w:numFmt w:val="decimal"/>
      <w:lvlText w:val="%7."/>
      <w:lvlJc w:val="left"/>
      <w:pPr>
        <w:ind w:left="4680" w:hanging="360"/>
      </w:pPr>
    </w:lvl>
    <w:lvl w:ilvl="7" w:tplc="7428AF38" w:tentative="1">
      <w:start w:val="1"/>
      <w:numFmt w:val="lowerLetter"/>
      <w:lvlText w:val="%8."/>
      <w:lvlJc w:val="left"/>
      <w:pPr>
        <w:ind w:left="5400" w:hanging="360"/>
      </w:pPr>
    </w:lvl>
    <w:lvl w:ilvl="8" w:tplc="6EE6FE82" w:tentative="1">
      <w:start w:val="1"/>
      <w:numFmt w:val="lowerRoman"/>
      <w:lvlText w:val="%9."/>
      <w:lvlJc w:val="right"/>
      <w:pPr>
        <w:ind w:left="6120" w:hanging="180"/>
      </w:pPr>
    </w:lvl>
  </w:abstractNum>
  <w:num w:numId="1">
    <w:abstractNumId w:val="9"/>
  </w:num>
  <w:num w:numId="2">
    <w:abstractNumId w:val="22"/>
  </w:num>
  <w:num w:numId="3">
    <w:abstractNumId w:val="37"/>
  </w:num>
  <w:num w:numId="4">
    <w:abstractNumId w:val="12"/>
  </w:num>
  <w:num w:numId="5">
    <w:abstractNumId w:val="43"/>
  </w:num>
  <w:num w:numId="6">
    <w:abstractNumId w:val="25"/>
  </w:num>
  <w:num w:numId="7">
    <w:abstractNumId w:val="11"/>
  </w:num>
  <w:num w:numId="8">
    <w:abstractNumId w:val="33"/>
  </w:num>
  <w:num w:numId="9">
    <w:abstractNumId w:val="28"/>
  </w:num>
  <w:num w:numId="10">
    <w:abstractNumId w:val="32"/>
  </w:num>
  <w:num w:numId="11">
    <w:abstractNumId w:val="31"/>
  </w:num>
  <w:num w:numId="12">
    <w:abstractNumId w:val="18"/>
  </w:num>
  <w:num w:numId="13">
    <w:abstractNumId w:val="24"/>
  </w:num>
  <w:num w:numId="14">
    <w:abstractNumId w:val="10"/>
  </w:num>
  <w:num w:numId="15">
    <w:abstractNumId w:val="36"/>
  </w:num>
  <w:num w:numId="16">
    <w:abstractNumId w:val="14"/>
  </w:num>
  <w:num w:numId="17">
    <w:abstractNumId w:val="29"/>
  </w:num>
  <w:num w:numId="18">
    <w:abstractNumId w:val="27"/>
  </w:num>
  <w:num w:numId="19">
    <w:abstractNumId w:val="35"/>
  </w:num>
  <w:num w:numId="20">
    <w:abstractNumId w:val="26"/>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42"/>
  </w:num>
  <w:num w:numId="31">
    <w:abstractNumId w:val="19"/>
  </w:num>
  <w:num w:numId="32">
    <w:abstractNumId w:val="23"/>
  </w:num>
  <w:num w:numId="33">
    <w:abstractNumId w:val="17"/>
  </w:num>
  <w:num w:numId="34">
    <w:abstractNumId w:val="13"/>
  </w:num>
  <w:num w:numId="35">
    <w:abstractNumId w:val="34"/>
  </w:num>
  <w:num w:numId="36">
    <w:abstractNumId w:val="21"/>
  </w:num>
  <w:num w:numId="37">
    <w:abstractNumId w:val="41"/>
  </w:num>
  <w:num w:numId="38">
    <w:abstractNumId w:val="16"/>
  </w:num>
  <w:num w:numId="39">
    <w:abstractNumId w:val="40"/>
  </w:num>
  <w:num w:numId="40">
    <w:abstractNumId w:val="39"/>
  </w:num>
  <w:num w:numId="41">
    <w:abstractNumId w:val="20"/>
  </w:num>
  <w:num w:numId="42">
    <w:abstractNumId w:val="15"/>
  </w:num>
  <w:num w:numId="43">
    <w:abstractNumId w:val="38"/>
  </w:num>
  <w:num w:numId="4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drawingGridHorizontalSpacing w:val="110"/>
  <w:displayHorizontalDrawingGridEvery w:val="2"/>
  <w:noPunctuationKerning/>
  <w:characterSpacingControl w:val="doNotCompress"/>
  <w:hdrShapeDefaults>
    <o:shapedefaults v:ext="edit" spidmax="2049" fill="f" fillcolor="white" stroke="f">
      <v:fill color="white" on="f"/>
      <v:stroke on="f"/>
      <o:colormru v:ext="edit" colors="#ddd,#eaeaea"/>
    </o:shapedefaults>
  </w:hdrShapeDefaults>
  <w:footnotePr>
    <w:footnote w:id="-1"/>
    <w:footnote w:id="0"/>
  </w:footnotePr>
  <w:endnotePr>
    <w:endnote w:id="-1"/>
    <w:endnote w:id="0"/>
  </w:endnotePr>
  <w:compat>
    <w:compatSetting w:name="compatibilityMode" w:uri="http://schemas.microsoft.com/office/word" w:val="12"/>
  </w:compat>
  <w:rsids>
    <w:rsidRoot w:val="001C2C59"/>
    <w:rsid w:val="000007A2"/>
    <w:rsid w:val="00000822"/>
    <w:rsid w:val="0000115E"/>
    <w:rsid w:val="000013B7"/>
    <w:rsid w:val="00001994"/>
    <w:rsid w:val="00002060"/>
    <w:rsid w:val="00002119"/>
    <w:rsid w:val="00002635"/>
    <w:rsid w:val="00002F0C"/>
    <w:rsid w:val="00003149"/>
    <w:rsid w:val="000035BB"/>
    <w:rsid w:val="00003955"/>
    <w:rsid w:val="00003FA2"/>
    <w:rsid w:val="00004132"/>
    <w:rsid w:val="0000429F"/>
    <w:rsid w:val="00004338"/>
    <w:rsid w:val="0000474E"/>
    <w:rsid w:val="000050E8"/>
    <w:rsid w:val="00005522"/>
    <w:rsid w:val="0000587A"/>
    <w:rsid w:val="00005BD7"/>
    <w:rsid w:val="0000628E"/>
    <w:rsid w:val="00006564"/>
    <w:rsid w:val="0000661E"/>
    <w:rsid w:val="0000706B"/>
    <w:rsid w:val="000071C5"/>
    <w:rsid w:val="0000738A"/>
    <w:rsid w:val="00007487"/>
    <w:rsid w:val="00007C3C"/>
    <w:rsid w:val="00007F99"/>
    <w:rsid w:val="00010096"/>
    <w:rsid w:val="000105AA"/>
    <w:rsid w:val="000107BC"/>
    <w:rsid w:val="000109C2"/>
    <w:rsid w:val="000109FA"/>
    <w:rsid w:val="00010F66"/>
    <w:rsid w:val="0001118E"/>
    <w:rsid w:val="000111F7"/>
    <w:rsid w:val="000118BA"/>
    <w:rsid w:val="00011B5D"/>
    <w:rsid w:val="00011E3A"/>
    <w:rsid w:val="00011F92"/>
    <w:rsid w:val="000124C1"/>
    <w:rsid w:val="00012A40"/>
    <w:rsid w:val="00012B16"/>
    <w:rsid w:val="000132CA"/>
    <w:rsid w:val="00013424"/>
    <w:rsid w:val="000137A5"/>
    <w:rsid w:val="00013BC0"/>
    <w:rsid w:val="00013F52"/>
    <w:rsid w:val="0001416E"/>
    <w:rsid w:val="0001436D"/>
    <w:rsid w:val="000143AE"/>
    <w:rsid w:val="00014470"/>
    <w:rsid w:val="00015247"/>
    <w:rsid w:val="000152B5"/>
    <w:rsid w:val="00016144"/>
    <w:rsid w:val="00016240"/>
    <w:rsid w:val="00016302"/>
    <w:rsid w:val="00016435"/>
    <w:rsid w:val="00016875"/>
    <w:rsid w:val="00016B23"/>
    <w:rsid w:val="00016D25"/>
    <w:rsid w:val="00017635"/>
    <w:rsid w:val="000176BF"/>
    <w:rsid w:val="0001779E"/>
    <w:rsid w:val="00017907"/>
    <w:rsid w:val="00017BC3"/>
    <w:rsid w:val="00017FB0"/>
    <w:rsid w:val="000200CC"/>
    <w:rsid w:val="0002082F"/>
    <w:rsid w:val="00020F5A"/>
    <w:rsid w:val="00021092"/>
    <w:rsid w:val="000215BA"/>
    <w:rsid w:val="000219F3"/>
    <w:rsid w:val="00021AFF"/>
    <w:rsid w:val="000222AD"/>
    <w:rsid w:val="000228BE"/>
    <w:rsid w:val="00023076"/>
    <w:rsid w:val="00023144"/>
    <w:rsid w:val="000231F8"/>
    <w:rsid w:val="0002323E"/>
    <w:rsid w:val="000238BB"/>
    <w:rsid w:val="00023AE0"/>
    <w:rsid w:val="000240C3"/>
    <w:rsid w:val="00024116"/>
    <w:rsid w:val="000243E0"/>
    <w:rsid w:val="0002474C"/>
    <w:rsid w:val="000247D7"/>
    <w:rsid w:val="0002488E"/>
    <w:rsid w:val="00024924"/>
    <w:rsid w:val="00024A6B"/>
    <w:rsid w:val="00024B6B"/>
    <w:rsid w:val="00024BFF"/>
    <w:rsid w:val="00024F5F"/>
    <w:rsid w:val="000251FB"/>
    <w:rsid w:val="0002589B"/>
    <w:rsid w:val="00025973"/>
    <w:rsid w:val="00025F8E"/>
    <w:rsid w:val="00026181"/>
    <w:rsid w:val="000261AE"/>
    <w:rsid w:val="000261DE"/>
    <w:rsid w:val="0002650F"/>
    <w:rsid w:val="00026720"/>
    <w:rsid w:val="00026D5C"/>
    <w:rsid w:val="000271F7"/>
    <w:rsid w:val="000278B2"/>
    <w:rsid w:val="00027AC8"/>
    <w:rsid w:val="000300DC"/>
    <w:rsid w:val="00030A94"/>
    <w:rsid w:val="00030D3C"/>
    <w:rsid w:val="00030E97"/>
    <w:rsid w:val="00030FFF"/>
    <w:rsid w:val="000311B7"/>
    <w:rsid w:val="000314AC"/>
    <w:rsid w:val="00031FB7"/>
    <w:rsid w:val="00032360"/>
    <w:rsid w:val="00032431"/>
    <w:rsid w:val="00032626"/>
    <w:rsid w:val="0003270D"/>
    <w:rsid w:val="00032A41"/>
    <w:rsid w:val="00032CB3"/>
    <w:rsid w:val="00032D99"/>
    <w:rsid w:val="00032E38"/>
    <w:rsid w:val="00032E75"/>
    <w:rsid w:val="00032EFF"/>
    <w:rsid w:val="0003308B"/>
    <w:rsid w:val="00033099"/>
    <w:rsid w:val="00033222"/>
    <w:rsid w:val="000333BE"/>
    <w:rsid w:val="00033462"/>
    <w:rsid w:val="00033A4F"/>
    <w:rsid w:val="00033C52"/>
    <w:rsid w:val="00033DEF"/>
    <w:rsid w:val="00034402"/>
    <w:rsid w:val="00034542"/>
    <w:rsid w:val="00034753"/>
    <w:rsid w:val="00034907"/>
    <w:rsid w:val="00034A8B"/>
    <w:rsid w:val="00034A91"/>
    <w:rsid w:val="00034B7D"/>
    <w:rsid w:val="00034DE6"/>
    <w:rsid w:val="000350D4"/>
    <w:rsid w:val="00035153"/>
    <w:rsid w:val="000351BC"/>
    <w:rsid w:val="000352B8"/>
    <w:rsid w:val="0003563A"/>
    <w:rsid w:val="00035A48"/>
    <w:rsid w:val="00035A9E"/>
    <w:rsid w:val="00035BE9"/>
    <w:rsid w:val="00035D1F"/>
    <w:rsid w:val="00035D30"/>
    <w:rsid w:val="00035D8C"/>
    <w:rsid w:val="00035EE9"/>
    <w:rsid w:val="0003615A"/>
    <w:rsid w:val="000361BB"/>
    <w:rsid w:val="000361C9"/>
    <w:rsid w:val="000367F5"/>
    <w:rsid w:val="00036906"/>
    <w:rsid w:val="00037275"/>
    <w:rsid w:val="00037365"/>
    <w:rsid w:val="000376E2"/>
    <w:rsid w:val="00037F17"/>
    <w:rsid w:val="000400A2"/>
    <w:rsid w:val="00040309"/>
    <w:rsid w:val="0004074C"/>
    <w:rsid w:val="0004092B"/>
    <w:rsid w:val="00040D95"/>
    <w:rsid w:val="00040E65"/>
    <w:rsid w:val="00040EB8"/>
    <w:rsid w:val="000413AB"/>
    <w:rsid w:val="00041443"/>
    <w:rsid w:val="000414FE"/>
    <w:rsid w:val="000418AD"/>
    <w:rsid w:val="00041B5A"/>
    <w:rsid w:val="000423C0"/>
    <w:rsid w:val="00042639"/>
    <w:rsid w:val="00042B77"/>
    <w:rsid w:val="00042C8A"/>
    <w:rsid w:val="00042CFA"/>
    <w:rsid w:val="00043216"/>
    <w:rsid w:val="00043402"/>
    <w:rsid w:val="0004350A"/>
    <w:rsid w:val="00043A24"/>
    <w:rsid w:val="00043F17"/>
    <w:rsid w:val="00043FF8"/>
    <w:rsid w:val="000440CF"/>
    <w:rsid w:val="00044275"/>
    <w:rsid w:val="0004459B"/>
    <w:rsid w:val="00044814"/>
    <w:rsid w:val="00044F6E"/>
    <w:rsid w:val="00044F7A"/>
    <w:rsid w:val="00044F82"/>
    <w:rsid w:val="00044FBC"/>
    <w:rsid w:val="000451C2"/>
    <w:rsid w:val="000452B1"/>
    <w:rsid w:val="00045D44"/>
    <w:rsid w:val="0004608D"/>
    <w:rsid w:val="00046460"/>
    <w:rsid w:val="0004649D"/>
    <w:rsid w:val="00046531"/>
    <w:rsid w:val="00046B25"/>
    <w:rsid w:val="00046CED"/>
    <w:rsid w:val="00046F92"/>
    <w:rsid w:val="00046FA9"/>
    <w:rsid w:val="00047303"/>
    <w:rsid w:val="0004792C"/>
    <w:rsid w:val="00047A29"/>
    <w:rsid w:val="00047B27"/>
    <w:rsid w:val="00047B71"/>
    <w:rsid w:val="00047BF7"/>
    <w:rsid w:val="00047CC6"/>
    <w:rsid w:val="00047D45"/>
    <w:rsid w:val="000501E7"/>
    <w:rsid w:val="000502DB"/>
    <w:rsid w:val="0005040F"/>
    <w:rsid w:val="000509B0"/>
    <w:rsid w:val="00050BC3"/>
    <w:rsid w:val="00050F26"/>
    <w:rsid w:val="0005115E"/>
    <w:rsid w:val="000511CE"/>
    <w:rsid w:val="000514F0"/>
    <w:rsid w:val="0005170A"/>
    <w:rsid w:val="00051B2C"/>
    <w:rsid w:val="00051B64"/>
    <w:rsid w:val="0005206E"/>
    <w:rsid w:val="00052105"/>
    <w:rsid w:val="000521D4"/>
    <w:rsid w:val="000523C4"/>
    <w:rsid w:val="00052601"/>
    <w:rsid w:val="00052622"/>
    <w:rsid w:val="00052B0C"/>
    <w:rsid w:val="000530A0"/>
    <w:rsid w:val="00053BF4"/>
    <w:rsid w:val="0005404A"/>
    <w:rsid w:val="000540EE"/>
    <w:rsid w:val="000542E5"/>
    <w:rsid w:val="00054401"/>
    <w:rsid w:val="00054C74"/>
    <w:rsid w:val="00054CB7"/>
    <w:rsid w:val="0005519B"/>
    <w:rsid w:val="00055224"/>
    <w:rsid w:val="00055697"/>
    <w:rsid w:val="00055901"/>
    <w:rsid w:val="000559B6"/>
    <w:rsid w:val="00055D16"/>
    <w:rsid w:val="0005617C"/>
    <w:rsid w:val="000564FE"/>
    <w:rsid w:val="00056545"/>
    <w:rsid w:val="00056764"/>
    <w:rsid w:val="00056BDA"/>
    <w:rsid w:val="00056DFA"/>
    <w:rsid w:val="00056EB2"/>
    <w:rsid w:val="00056F54"/>
    <w:rsid w:val="0005710D"/>
    <w:rsid w:val="0005758A"/>
    <w:rsid w:val="00057A9B"/>
    <w:rsid w:val="00057E6F"/>
    <w:rsid w:val="0006028E"/>
    <w:rsid w:val="00060366"/>
    <w:rsid w:val="00060446"/>
    <w:rsid w:val="000606D1"/>
    <w:rsid w:val="00060947"/>
    <w:rsid w:val="00061149"/>
    <w:rsid w:val="0006130F"/>
    <w:rsid w:val="000614FA"/>
    <w:rsid w:val="00061676"/>
    <w:rsid w:val="000618E6"/>
    <w:rsid w:val="0006193F"/>
    <w:rsid w:val="00061A03"/>
    <w:rsid w:val="0006200C"/>
    <w:rsid w:val="000626AE"/>
    <w:rsid w:val="00062827"/>
    <w:rsid w:val="00062919"/>
    <w:rsid w:val="00062DD8"/>
    <w:rsid w:val="00062E09"/>
    <w:rsid w:val="000630DD"/>
    <w:rsid w:val="00063141"/>
    <w:rsid w:val="0006326F"/>
    <w:rsid w:val="0006358F"/>
    <w:rsid w:val="00063A21"/>
    <w:rsid w:val="00063F26"/>
    <w:rsid w:val="00064320"/>
    <w:rsid w:val="000643BE"/>
    <w:rsid w:val="000649F7"/>
    <w:rsid w:val="00064D39"/>
    <w:rsid w:val="00064D72"/>
    <w:rsid w:val="00064DD1"/>
    <w:rsid w:val="00065110"/>
    <w:rsid w:val="00065138"/>
    <w:rsid w:val="00065532"/>
    <w:rsid w:val="000655E1"/>
    <w:rsid w:val="000659B7"/>
    <w:rsid w:val="00065E1B"/>
    <w:rsid w:val="0006619C"/>
    <w:rsid w:val="00066498"/>
    <w:rsid w:val="000668FA"/>
    <w:rsid w:val="000669E1"/>
    <w:rsid w:val="000669E9"/>
    <w:rsid w:val="00066A72"/>
    <w:rsid w:val="00066B3F"/>
    <w:rsid w:val="00066B86"/>
    <w:rsid w:val="00066D6B"/>
    <w:rsid w:val="00066E4B"/>
    <w:rsid w:val="00066EA8"/>
    <w:rsid w:val="000671E6"/>
    <w:rsid w:val="000674EA"/>
    <w:rsid w:val="000675AB"/>
    <w:rsid w:val="00067EC1"/>
    <w:rsid w:val="00067EFE"/>
    <w:rsid w:val="0007003F"/>
    <w:rsid w:val="0007052D"/>
    <w:rsid w:val="000705EF"/>
    <w:rsid w:val="00070725"/>
    <w:rsid w:val="00070F90"/>
    <w:rsid w:val="000710B6"/>
    <w:rsid w:val="000711B4"/>
    <w:rsid w:val="000719E8"/>
    <w:rsid w:val="00071DBC"/>
    <w:rsid w:val="000722A1"/>
    <w:rsid w:val="00072364"/>
    <w:rsid w:val="00072423"/>
    <w:rsid w:val="00072669"/>
    <w:rsid w:val="00072731"/>
    <w:rsid w:val="00072959"/>
    <w:rsid w:val="00072DC4"/>
    <w:rsid w:val="00073492"/>
    <w:rsid w:val="000736DA"/>
    <w:rsid w:val="00073BD5"/>
    <w:rsid w:val="000740BA"/>
    <w:rsid w:val="0007425F"/>
    <w:rsid w:val="0007445F"/>
    <w:rsid w:val="00074574"/>
    <w:rsid w:val="0007485B"/>
    <w:rsid w:val="00074EF1"/>
    <w:rsid w:val="0007526D"/>
    <w:rsid w:val="00075815"/>
    <w:rsid w:val="00075BE9"/>
    <w:rsid w:val="00075C76"/>
    <w:rsid w:val="00075F8F"/>
    <w:rsid w:val="00076199"/>
    <w:rsid w:val="00076349"/>
    <w:rsid w:val="0007659A"/>
    <w:rsid w:val="000768E8"/>
    <w:rsid w:val="00076BFE"/>
    <w:rsid w:val="00076C3E"/>
    <w:rsid w:val="00076DA0"/>
    <w:rsid w:val="00077279"/>
    <w:rsid w:val="00077F8A"/>
    <w:rsid w:val="0008057A"/>
    <w:rsid w:val="00080600"/>
    <w:rsid w:val="000806BF"/>
    <w:rsid w:val="00080ADD"/>
    <w:rsid w:val="00080EEE"/>
    <w:rsid w:val="00081087"/>
    <w:rsid w:val="00081361"/>
    <w:rsid w:val="00081A85"/>
    <w:rsid w:val="00081D51"/>
    <w:rsid w:val="0008236D"/>
    <w:rsid w:val="00082436"/>
    <w:rsid w:val="0008271C"/>
    <w:rsid w:val="0008273D"/>
    <w:rsid w:val="00082817"/>
    <w:rsid w:val="00082D70"/>
    <w:rsid w:val="000830C4"/>
    <w:rsid w:val="0008319E"/>
    <w:rsid w:val="0008325C"/>
    <w:rsid w:val="0008358B"/>
    <w:rsid w:val="000836B0"/>
    <w:rsid w:val="0008417A"/>
    <w:rsid w:val="000841A0"/>
    <w:rsid w:val="000841E6"/>
    <w:rsid w:val="000842B7"/>
    <w:rsid w:val="000843E8"/>
    <w:rsid w:val="00084490"/>
    <w:rsid w:val="0008457C"/>
    <w:rsid w:val="00084BD7"/>
    <w:rsid w:val="00084C50"/>
    <w:rsid w:val="00084CBA"/>
    <w:rsid w:val="000852E9"/>
    <w:rsid w:val="000855BF"/>
    <w:rsid w:val="00085988"/>
    <w:rsid w:val="000859BD"/>
    <w:rsid w:val="00085AAE"/>
    <w:rsid w:val="000863F0"/>
    <w:rsid w:val="0008649D"/>
    <w:rsid w:val="0008668C"/>
    <w:rsid w:val="00086773"/>
    <w:rsid w:val="00086E5C"/>
    <w:rsid w:val="00086F65"/>
    <w:rsid w:val="00087AD5"/>
    <w:rsid w:val="00087D9E"/>
    <w:rsid w:val="000904CB"/>
    <w:rsid w:val="00090604"/>
    <w:rsid w:val="000913E8"/>
    <w:rsid w:val="0009171B"/>
    <w:rsid w:val="000918C3"/>
    <w:rsid w:val="00091D1D"/>
    <w:rsid w:val="00091DA9"/>
    <w:rsid w:val="00091F8A"/>
    <w:rsid w:val="000921C6"/>
    <w:rsid w:val="00092460"/>
    <w:rsid w:val="0009266B"/>
    <w:rsid w:val="00092F10"/>
    <w:rsid w:val="00092F49"/>
    <w:rsid w:val="000932BE"/>
    <w:rsid w:val="000932C1"/>
    <w:rsid w:val="000934B7"/>
    <w:rsid w:val="0009386E"/>
    <w:rsid w:val="00093896"/>
    <w:rsid w:val="0009425F"/>
    <w:rsid w:val="000943CE"/>
    <w:rsid w:val="00094447"/>
    <w:rsid w:val="000948D7"/>
    <w:rsid w:val="000948FA"/>
    <w:rsid w:val="00094F10"/>
    <w:rsid w:val="00094F24"/>
    <w:rsid w:val="000950D4"/>
    <w:rsid w:val="0009512B"/>
    <w:rsid w:val="00095161"/>
    <w:rsid w:val="0009520D"/>
    <w:rsid w:val="00095589"/>
    <w:rsid w:val="000956BB"/>
    <w:rsid w:val="00095C3E"/>
    <w:rsid w:val="00096329"/>
    <w:rsid w:val="00096539"/>
    <w:rsid w:val="00096D2B"/>
    <w:rsid w:val="00096E34"/>
    <w:rsid w:val="00096F94"/>
    <w:rsid w:val="0009710A"/>
    <w:rsid w:val="00097275"/>
    <w:rsid w:val="000978D3"/>
    <w:rsid w:val="000978F0"/>
    <w:rsid w:val="000A02BA"/>
    <w:rsid w:val="000A0682"/>
    <w:rsid w:val="000A089C"/>
    <w:rsid w:val="000A1480"/>
    <w:rsid w:val="000A19C7"/>
    <w:rsid w:val="000A1D25"/>
    <w:rsid w:val="000A1DCB"/>
    <w:rsid w:val="000A1F09"/>
    <w:rsid w:val="000A2461"/>
    <w:rsid w:val="000A249C"/>
    <w:rsid w:val="000A2A62"/>
    <w:rsid w:val="000A325A"/>
    <w:rsid w:val="000A32A6"/>
    <w:rsid w:val="000A3325"/>
    <w:rsid w:val="000A345D"/>
    <w:rsid w:val="000A3829"/>
    <w:rsid w:val="000A4616"/>
    <w:rsid w:val="000A46D7"/>
    <w:rsid w:val="000A4A4A"/>
    <w:rsid w:val="000A4BA4"/>
    <w:rsid w:val="000A5204"/>
    <w:rsid w:val="000A527B"/>
    <w:rsid w:val="000A5565"/>
    <w:rsid w:val="000A5C4A"/>
    <w:rsid w:val="000A6B1F"/>
    <w:rsid w:val="000A6D84"/>
    <w:rsid w:val="000A702E"/>
    <w:rsid w:val="000A70C9"/>
    <w:rsid w:val="000A72DD"/>
    <w:rsid w:val="000A73B0"/>
    <w:rsid w:val="000A76A7"/>
    <w:rsid w:val="000A79F0"/>
    <w:rsid w:val="000A7C98"/>
    <w:rsid w:val="000B0117"/>
    <w:rsid w:val="000B027E"/>
    <w:rsid w:val="000B093F"/>
    <w:rsid w:val="000B0A77"/>
    <w:rsid w:val="000B0CC1"/>
    <w:rsid w:val="000B10C2"/>
    <w:rsid w:val="000B1200"/>
    <w:rsid w:val="000B13D2"/>
    <w:rsid w:val="000B1B42"/>
    <w:rsid w:val="000B1DFA"/>
    <w:rsid w:val="000B209F"/>
    <w:rsid w:val="000B23D3"/>
    <w:rsid w:val="000B249F"/>
    <w:rsid w:val="000B2971"/>
    <w:rsid w:val="000B2CD1"/>
    <w:rsid w:val="000B2FB5"/>
    <w:rsid w:val="000B3362"/>
    <w:rsid w:val="000B3386"/>
    <w:rsid w:val="000B35E5"/>
    <w:rsid w:val="000B37C5"/>
    <w:rsid w:val="000B3940"/>
    <w:rsid w:val="000B406F"/>
    <w:rsid w:val="000B4327"/>
    <w:rsid w:val="000B4830"/>
    <w:rsid w:val="000B4966"/>
    <w:rsid w:val="000B4B1F"/>
    <w:rsid w:val="000B4BA5"/>
    <w:rsid w:val="000B581B"/>
    <w:rsid w:val="000B5904"/>
    <w:rsid w:val="000B591F"/>
    <w:rsid w:val="000B5C3E"/>
    <w:rsid w:val="000B5F90"/>
    <w:rsid w:val="000B6636"/>
    <w:rsid w:val="000B6854"/>
    <w:rsid w:val="000B6D06"/>
    <w:rsid w:val="000B7149"/>
    <w:rsid w:val="000B7597"/>
    <w:rsid w:val="000B772A"/>
    <w:rsid w:val="000B7743"/>
    <w:rsid w:val="000B7CA1"/>
    <w:rsid w:val="000B7D5D"/>
    <w:rsid w:val="000B7FAC"/>
    <w:rsid w:val="000C051F"/>
    <w:rsid w:val="000C05D8"/>
    <w:rsid w:val="000C0756"/>
    <w:rsid w:val="000C0B5D"/>
    <w:rsid w:val="000C0C1F"/>
    <w:rsid w:val="000C0F86"/>
    <w:rsid w:val="000C1681"/>
    <w:rsid w:val="000C1A89"/>
    <w:rsid w:val="000C297B"/>
    <w:rsid w:val="000C2A29"/>
    <w:rsid w:val="000C2F1E"/>
    <w:rsid w:val="000C31A4"/>
    <w:rsid w:val="000C32ED"/>
    <w:rsid w:val="000C361B"/>
    <w:rsid w:val="000C3A14"/>
    <w:rsid w:val="000C3AC3"/>
    <w:rsid w:val="000C3DAD"/>
    <w:rsid w:val="000C4356"/>
    <w:rsid w:val="000C450A"/>
    <w:rsid w:val="000C4664"/>
    <w:rsid w:val="000C4C16"/>
    <w:rsid w:val="000C61AE"/>
    <w:rsid w:val="000C6257"/>
    <w:rsid w:val="000C6280"/>
    <w:rsid w:val="000C66C1"/>
    <w:rsid w:val="000C697E"/>
    <w:rsid w:val="000C69AD"/>
    <w:rsid w:val="000C6A84"/>
    <w:rsid w:val="000C6BA9"/>
    <w:rsid w:val="000C6FC3"/>
    <w:rsid w:val="000C7751"/>
    <w:rsid w:val="000C7955"/>
    <w:rsid w:val="000C79FA"/>
    <w:rsid w:val="000C7AD8"/>
    <w:rsid w:val="000C7AED"/>
    <w:rsid w:val="000C7BD4"/>
    <w:rsid w:val="000C7C0F"/>
    <w:rsid w:val="000C7F1C"/>
    <w:rsid w:val="000D0379"/>
    <w:rsid w:val="000D0395"/>
    <w:rsid w:val="000D0CAC"/>
    <w:rsid w:val="000D0D32"/>
    <w:rsid w:val="000D0F05"/>
    <w:rsid w:val="000D0FC6"/>
    <w:rsid w:val="000D1998"/>
    <w:rsid w:val="000D206E"/>
    <w:rsid w:val="000D2354"/>
    <w:rsid w:val="000D2727"/>
    <w:rsid w:val="000D28EB"/>
    <w:rsid w:val="000D2908"/>
    <w:rsid w:val="000D2995"/>
    <w:rsid w:val="000D2E64"/>
    <w:rsid w:val="000D309C"/>
    <w:rsid w:val="000D32C0"/>
    <w:rsid w:val="000D3C3A"/>
    <w:rsid w:val="000D3C9E"/>
    <w:rsid w:val="000D4399"/>
    <w:rsid w:val="000D447F"/>
    <w:rsid w:val="000D45DD"/>
    <w:rsid w:val="000D4672"/>
    <w:rsid w:val="000D4696"/>
    <w:rsid w:val="000D51CF"/>
    <w:rsid w:val="000D5410"/>
    <w:rsid w:val="000D577C"/>
    <w:rsid w:val="000D5B1C"/>
    <w:rsid w:val="000D5BB3"/>
    <w:rsid w:val="000D5DD7"/>
    <w:rsid w:val="000D6229"/>
    <w:rsid w:val="000D684E"/>
    <w:rsid w:val="000D69A0"/>
    <w:rsid w:val="000D6F70"/>
    <w:rsid w:val="000D70BA"/>
    <w:rsid w:val="000D7939"/>
    <w:rsid w:val="000E08B1"/>
    <w:rsid w:val="000E0E01"/>
    <w:rsid w:val="000E13BE"/>
    <w:rsid w:val="000E16C0"/>
    <w:rsid w:val="000E22FC"/>
    <w:rsid w:val="000E27EB"/>
    <w:rsid w:val="000E27F6"/>
    <w:rsid w:val="000E27FB"/>
    <w:rsid w:val="000E280F"/>
    <w:rsid w:val="000E2C84"/>
    <w:rsid w:val="000E2F35"/>
    <w:rsid w:val="000E2F3C"/>
    <w:rsid w:val="000E2F59"/>
    <w:rsid w:val="000E2FBE"/>
    <w:rsid w:val="000E3472"/>
    <w:rsid w:val="000E35C5"/>
    <w:rsid w:val="000E3677"/>
    <w:rsid w:val="000E36CC"/>
    <w:rsid w:val="000E3850"/>
    <w:rsid w:val="000E3946"/>
    <w:rsid w:val="000E3A48"/>
    <w:rsid w:val="000E3ABB"/>
    <w:rsid w:val="000E4803"/>
    <w:rsid w:val="000E4AAD"/>
    <w:rsid w:val="000E4F7C"/>
    <w:rsid w:val="000E5297"/>
    <w:rsid w:val="000E5868"/>
    <w:rsid w:val="000E58DD"/>
    <w:rsid w:val="000E5A4B"/>
    <w:rsid w:val="000E5ED9"/>
    <w:rsid w:val="000E5F70"/>
    <w:rsid w:val="000E6122"/>
    <w:rsid w:val="000E617D"/>
    <w:rsid w:val="000E6298"/>
    <w:rsid w:val="000E62E8"/>
    <w:rsid w:val="000E6935"/>
    <w:rsid w:val="000E72FD"/>
    <w:rsid w:val="000E74C5"/>
    <w:rsid w:val="000E74E7"/>
    <w:rsid w:val="000E77FE"/>
    <w:rsid w:val="000F032F"/>
    <w:rsid w:val="000F0449"/>
    <w:rsid w:val="000F069C"/>
    <w:rsid w:val="000F09F3"/>
    <w:rsid w:val="000F0D41"/>
    <w:rsid w:val="000F105C"/>
    <w:rsid w:val="000F1126"/>
    <w:rsid w:val="000F11A3"/>
    <w:rsid w:val="000F17D9"/>
    <w:rsid w:val="000F17E6"/>
    <w:rsid w:val="000F1FD7"/>
    <w:rsid w:val="000F214B"/>
    <w:rsid w:val="000F2D66"/>
    <w:rsid w:val="000F2E54"/>
    <w:rsid w:val="000F2E5D"/>
    <w:rsid w:val="000F2E8C"/>
    <w:rsid w:val="000F3207"/>
    <w:rsid w:val="000F3720"/>
    <w:rsid w:val="000F3EB2"/>
    <w:rsid w:val="000F3F14"/>
    <w:rsid w:val="000F4A8D"/>
    <w:rsid w:val="000F4BF7"/>
    <w:rsid w:val="000F52C4"/>
    <w:rsid w:val="000F5634"/>
    <w:rsid w:val="000F56F2"/>
    <w:rsid w:val="000F5AB8"/>
    <w:rsid w:val="000F5B19"/>
    <w:rsid w:val="000F5C18"/>
    <w:rsid w:val="000F5DB2"/>
    <w:rsid w:val="000F5F4D"/>
    <w:rsid w:val="000F619C"/>
    <w:rsid w:val="000F633E"/>
    <w:rsid w:val="000F6453"/>
    <w:rsid w:val="000F6709"/>
    <w:rsid w:val="000F672D"/>
    <w:rsid w:val="000F715A"/>
    <w:rsid w:val="000F7369"/>
    <w:rsid w:val="000F74D6"/>
    <w:rsid w:val="000F78B0"/>
    <w:rsid w:val="000F7B9D"/>
    <w:rsid w:val="00100A6B"/>
    <w:rsid w:val="00100C8D"/>
    <w:rsid w:val="00100D62"/>
    <w:rsid w:val="00100E47"/>
    <w:rsid w:val="00101462"/>
    <w:rsid w:val="00101F99"/>
    <w:rsid w:val="00101FD3"/>
    <w:rsid w:val="0010209A"/>
    <w:rsid w:val="001020F4"/>
    <w:rsid w:val="00102190"/>
    <w:rsid w:val="001022AF"/>
    <w:rsid w:val="0010236A"/>
    <w:rsid w:val="001023E8"/>
    <w:rsid w:val="001025C3"/>
    <w:rsid w:val="00102713"/>
    <w:rsid w:val="001027E9"/>
    <w:rsid w:val="00102DA4"/>
    <w:rsid w:val="001037C8"/>
    <w:rsid w:val="001038FD"/>
    <w:rsid w:val="00103C61"/>
    <w:rsid w:val="00103D95"/>
    <w:rsid w:val="001049AA"/>
    <w:rsid w:val="0010514F"/>
    <w:rsid w:val="0010599F"/>
    <w:rsid w:val="00105E5B"/>
    <w:rsid w:val="00105E5D"/>
    <w:rsid w:val="00105F08"/>
    <w:rsid w:val="0010621C"/>
    <w:rsid w:val="00106632"/>
    <w:rsid w:val="00106769"/>
    <w:rsid w:val="001067FB"/>
    <w:rsid w:val="00106AD2"/>
    <w:rsid w:val="00106C7A"/>
    <w:rsid w:val="00106D60"/>
    <w:rsid w:val="00106EA4"/>
    <w:rsid w:val="00107167"/>
    <w:rsid w:val="00107410"/>
    <w:rsid w:val="001074A8"/>
    <w:rsid w:val="0010753F"/>
    <w:rsid w:val="00107626"/>
    <w:rsid w:val="001078AB"/>
    <w:rsid w:val="00107B6F"/>
    <w:rsid w:val="00107B82"/>
    <w:rsid w:val="00107B8A"/>
    <w:rsid w:val="00107BD2"/>
    <w:rsid w:val="00107D29"/>
    <w:rsid w:val="00107D49"/>
    <w:rsid w:val="00110037"/>
    <w:rsid w:val="001101EB"/>
    <w:rsid w:val="0011026A"/>
    <w:rsid w:val="0011035A"/>
    <w:rsid w:val="001107D6"/>
    <w:rsid w:val="00110A6E"/>
    <w:rsid w:val="00110B9F"/>
    <w:rsid w:val="00111546"/>
    <w:rsid w:val="0011158B"/>
    <w:rsid w:val="001118DF"/>
    <w:rsid w:val="00111B2E"/>
    <w:rsid w:val="00111BD3"/>
    <w:rsid w:val="00111C19"/>
    <w:rsid w:val="00111C2A"/>
    <w:rsid w:val="00111FA8"/>
    <w:rsid w:val="0011207C"/>
    <w:rsid w:val="001120D4"/>
    <w:rsid w:val="0011255D"/>
    <w:rsid w:val="0011286A"/>
    <w:rsid w:val="00112A19"/>
    <w:rsid w:val="00112CEB"/>
    <w:rsid w:val="001139E7"/>
    <w:rsid w:val="00113E82"/>
    <w:rsid w:val="00114300"/>
    <w:rsid w:val="001143BE"/>
    <w:rsid w:val="00114781"/>
    <w:rsid w:val="001147E9"/>
    <w:rsid w:val="00114AAB"/>
    <w:rsid w:val="00114C6D"/>
    <w:rsid w:val="00114FBE"/>
    <w:rsid w:val="001150F1"/>
    <w:rsid w:val="0011544A"/>
    <w:rsid w:val="00115452"/>
    <w:rsid w:val="001157F7"/>
    <w:rsid w:val="001159B8"/>
    <w:rsid w:val="00116095"/>
    <w:rsid w:val="0011629E"/>
    <w:rsid w:val="0011634F"/>
    <w:rsid w:val="001166F8"/>
    <w:rsid w:val="001169F0"/>
    <w:rsid w:val="00116B91"/>
    <w:rsid w:val="00117262"/>
    <w:rsid w:val="001174C7"/>
    <w:rsid w:val="00117533"/>
    <w:rsid w:val="00117862"/>
    <w:rsid w:val="00117DBA"/>
    <w:rsid w:val="0012039D"/>
    <w:rsid w:val="001203DF"/>
    <w:rsid w:val="001204BA"/>
    <w:rsid w:val="00120D1F"/>
    <w:rsid w:val="001210A4"/>
    <w:rsid w:val="00121133"/>
    <w:rsid w:val="001213BF"/>
    <w:rsid w:val="001213F1"/>
    <w:rsid w:val="00121A37"/>
    <w:rsid w:val="00121EF0"/>
    <w:rsid w:val="001220CB"/>
    <w:rsid w:val="00122259"/>
    <w:rsid w:val="001223DC"/>
    <w:rsid w:val="00122418"/>
    <w:rsid w:val="001228B7"/>
    <w:rsid w:val="001228C0"/>
    <w:rsid w:val="00122D7D"/>
    <w:rsid w:val="00122DCA"/>
    <w:rsid w:val="00122DE8"/>
    <w:rsid w:val="00122E82"/>
    <w:rsid w:val="001230A4"/>
    <w:rsid w:val="001232B1"/>
    <w:rsid w:val="0012347D"/>
    <w:rsid w:val="0012359C"/>
    <w:rsid w:val="00123724"/>
    <w:rsid w:val="00124042"/>
    <w:rsid w:val="001240D9"/>
    <w:rsid w:val="0012458B"/>
    <w:rsid w:val="00124B75"/>
    <w:rsid w:val="00124DDC"/>
    <w:rsid w:val="001250F3"/>
    <w:rsid w:val="00125565"/>
    <w:rsid w:val="00125837"/>
    <w:rsid w:val="00125882"/>
    <w:rsid w:val="00125950"/>
    <w:rsid w:val="00125B0A"/>
    <w:rsid w:val="00125E76"/>
    <w:rsid w:val="00125E8F"/>
    <w:rsid w:val="00125FF0"/>
    <w:rsid w:val="00126126"/>
    <w:rsid w:val="0012639B"/>
    <w:rsid w:val="00126504"/>
    <w:rsid w:val="00126892"/>
    <w:rsid w:val="00126E30"/>
    <w:rsid w:val="00126E51"/>
    <w:rsid w:val="0012716A"/>
    <w:rsid w:val="00127323"/>
    <w:rsid w:val="001306DD"/>
    <w:rsid w:val="0013086B"/>
    <w:rsid w:val="00130BCE"/>
    <w:rsid w:val="001311B8"/>
    <w:rsid w:val="0013134F"/>
    <w:rsid w:val="001315CA"/>
    <w:rsid w:val="001316E7"/>
    <w:rsid w:val="00131D78"/>
    <w:rsid w:val="00131FEA"/>
    <w:rsid w:val="0013218C"/>
    <w:rsid w:val="00132380"/>
    <w:rsid w:val="00132673"/>
    <w:rsid w:val="00132686"/>
    <w:rsid w:val="00132778"/>
    <w:rsid w:val="00132812"/>
    <w:rsid w:val="00132848"/>
    <w:rsid w:val="00132923"/>
    <w:rsid w:val="00132982"/>
    <w:rsid w:val="00132D39"/>
    <w:rsid w:val="00132EA3"/>
    <w:rsid w:val="00132F20"/>
    <w:rsid w:val="0013327E"/>
    <w:rsid w:val="00133596"/>
    <w:rsid w:val="00134613"/>
    <w:rsid w:val="0013474F"/>
    <w:rsid w:val="001349A6"/>
    <w:rsid w:val="001349D2"/>
    <w:rsid w:val="00134B92"/>
    <w:rsid w:val="00134BE2"/>
    <w:rsid w:val="00134F53"/>
    <w:rsid w:val="0013532A"/>
    <w:rsid w:val="00135591"/>
    <w:rsid w:val="00135D35"/>
    <w:rsid w:val="00135D72"/>
    <w:rsid w:val="00135ECB"/>
    <w:rsid w:val="001361A3"/>
    <w:rsid w:val="001361D3"/>
    <w:rsid w:val="00136370"/>
    <w:rsid w:val="001364E4"/>
    <w:rsid w:val="00136E5F"/>
    <w:rsid w:val="001373AC"/>
    <w:rsid w:val="00137503"/>
    <w:rsid w:val="00137A1F"/>
    <w:rsid w:val="00137B4E"/>
    <w:rsid w:val="00137EE6"/>
    <w:rsid w:val="001400C8"/>
    <w:rsid w:val="0014025E"/>
    <w:rsid w:val="0014053A"/>
    <w:rsid w:val="0014059B"/>
    <w:rsid w:val="001408CE"/>
    <w:rsid w:val="001409A8"/>
    <w:rsid w:val="001409ED"/>
    <w:rsid w:val="00140D3F"/>
    <w:rsid w:val="00140FC2"/>
    <w:rsid w:val="001411C9"/>
    <w:rsid w:val="00141245"/>
    <w:rsid w:val="001412D5"/>
    <w:rsid w:val="001416D5"/>
    <w:rsid w:val="001416E8"/>
    <w:rsid w:val="0014176E"/>
    <w:rsid w:val="00141D25"/>
    <w:rsid w:val="00141D5F"/>
    <w:rsid w:val="00141F99"/>
    <w:rsid w:val="00142210"/>
    <w:rsid w:val="00142B8C"/>
    <w:rsid w:val="001431C1"/>
    <w:rsid w:val="0014348F"/>
    <w:rsid w:val="00143611"/>
    <w:rsid w:val="00143793"/>
    <w:rsid w:val="001437D5"/>
    <w:rsid w:val="00143846"/>
    <w:rsid w:val="00143AB8"/>
    <w:rsid w:val="00143C43"/>
    <w:rsid w:val="00143E07"/>
    <w:rsid w:val="00143F25"/>
    <w:rsid w:val="0014427F"/>
    <w:rsid w:val="0014435C"/>
    <w:rsid w:val="00144544"/>
    <w:rsid w:val="00144C55"/>
    <w:rsid w:val="00145208"/>
    <w:rsid w:val="00145304"/>
    <w:rsid w:val="00145355"/>
    <w:rsid w:val="001453D0"/>
    <w:rsid w:val="00145755"/>
    <w:rsid w:val="001458DD"/>
    <w:rsid w:val="00145C7B"/>
    <w:rsid w:val="00145CF1"/>
    <w:rsid w:val="001460A4"/>
    <w:rsid w:val="0014683A"/>
    <w:rsid w:val="00146DDC"/>
    <w:rsid w:val="00147929"/>
    <w:rsid w:val="0014799E"/>
    <w:rsid w:val="00147A2F"/>
    <w:rsid w:val="00147B5B"/>
    <w:rsid w:val="0015007D"/>
    <w:rsid w:val="00150168"/>
    <w:rsid w:val="0015065C"/>
    <w:rsid w:val="00150B5F"/>
    <w:rsid w:val="00150E5C"/>
    <w:rsid w:val="00151459"/>
    <w:rsid w:val="0015152E"/>
    <w:rsid w:val="001515E1"/>
    <w:rsid w:val="00151651"/>
    <w:rsid w:val="00151653"/>
    <w:rsid w:val="00151C57"/>
    <w:rsid w:val="00151E9A"/>
    <w:rsid w:val="00152816"/>
    <w:rsid w:val="00152CB9"/>
    <w:rsid w:val="00152DE4"/>
    <w:rsid w:val="0015367C"/>
    <w:rsid w:val="00153859"/>
    <w:rsid w:val="00153AB0"/>
    <w:rsid w:val="001542E6"/>
    <w:rsid w:val="00154534"/>
    <w:rsid w:val="00155BAC"/>
    <w:rsid w:val="00155BD1"/>
    <w:rsid w:val="00155CAD"/>
    <w:rsid w:val="00155DF1"/>
    <w:rsid w:val="00155E2E"/>
    <w:rsid w:val="0015625C"/>
    <w:rsid w:val="001564C4"/>
    <w:rsid w:val="001564CA"/>
    <w:rsid w:val="00156C4F"/>
    <w:rsid w:val="00156C8E"/>
    <w:rsid w:val="00156E47"/>
    <w:rsid w:val="00157112"/>
    <w:rsid w:val="001571CA"/>
    <w:rsid w:val="00157377"/>
    <w:rsid w:val="001574C4"/>
    <w:rsid w:val="001575AB"/>
    <w:rsid w:val="00157C5B"/>
    <w:rsid w:val="00160003"/>
    <w:rsid w:val="001606DC"/>
    <w:rsid w:val="001611BD"/>
    <w:rsid w:val="0016193E"/>
    <w:rsid w:val="00161C93"/>
    <w:rsid w:val="00162060"/>
    <w:rsid w:val="001626E7"/>
    <w:rsid w:val="001627EC"/>
    <w:rsid w:val="001628BB"/>
    <w:rsid w:val="00163162"/>
    <w:rsid w:val="00163168"/>
    <w:rsid w:val="00163608"/>
    <w:rsid w:val="00163A58"/>
    <w:rsid w:val="00164137"/>
    <w:rsid w:val="00164165"/>
    <w:rsid w:val="0016432D"/>
    <w:rsid w:val="00164379"/>
    <w:rsid w:val="001645FE"/>
    <w:rsid w:val="00164E7A"/>
    <w:rsid w:val="00164EBE"/>
    <w:rsid w:val="00164F72"/>
    <w:rsid w:val="0016574B"/>
    <w:rsid w:val="00165CA0"/>
    <w:rsid w:val="00165CAF"/>
    <w:rsid w:val="00165E5F"/>
    <w:rsid w:val="00165E96"/>
    <w:rsid w:val="00165EB8"/>
    <w:rsid w:val="0016642C"/>
    <w:rsid w:val="001665C8"/>
    <w:rsid w:val="001666D8"/>
    <w:rsid w:val="00166ABB"/>
    <w:rsid w:val="00166B1E"/>
    <w:rsid w:val="0016706E"/>
    <w:rsid w:val="00167168"/>
    <w:rsid w:val="00167180"/>
    <w:rsid w:val="001674BA"/>
    <w:rsid w:val="001675EE"/>
    <w:rsid w:val="00167D28"/>
    <w:rsid w:val="00167E7A"/>
    <w:rsid w:val="00170364"/>
    <w:rsid w:val="0017043F"/>
    <w:rsid w:val="001705E7"/>
    <w:rsid w:val="00170986"/>
    <w:rsid w:val="00170FB0"/>
    <w:rsid w:val="0017109A"/>
    <w:rsid w:val="00171645"/>
    <w:rsid w:val="00171742"/>
    <w:rsid w:val="00171769"/>
    <w:rsid w:val="00171C12"/>
    <w:rsid w:val="00171D2B"/>
    <w:rsid w:val="0017202A"/>
    <w:rsid w:val="001721C5"/>
    <w:rsid w:val="0017223B"/>
    <w:rsid w:val="00172361"/>
    <w:rsid w:val="001723FB"/>
    <w:rsid w:val="0017248F"/>
    <w:rsid w:val="00172750"/>
    <w:rsid w:val="00172D4D"/>
    <w:rsid w:val="00173122"/>
    <w:rsid w:val="0017355B"/>
    <w:rsid w:val="00173595"/>
    <w:rsid w:val="00173618"/>
    <w:rsid w:val="0017373D"/>
    <w:rsid w:val="00173C0E"/>
    <w:rsid w:val="00173DAE"/>
    <w:rsid w:val="00173F82"/>
    <w:rsid w:val="0017410D"/>
    <w:rsid w:val="001746A1"/>
    <w:rsid w:val="00174EFC"/>
    <w:rsid w:val="001755E7"/>
    <w:rsid w:val="00175610"/>
    <w:rsid w:val="00175A84"/>
    <w:rsid w:val="00175D33"/>
    <w:rsid w:val="00175E6D"/>
    <w:rsid w:val="00175F1C"/>
    <w:rsid w:val="00175FD5"/>
    <w:rsid w:val="001760BA"/>
    <w:rsid w:val="001760CA"/>
    <w:rsid w:val="001761CF"/>
    <w:rsid w:val="00176204"/>
    <w:rsid w:val="0017672C"/>
    <w:rsid w:val="00176752"/>
    <w:rsid w:val="00176D1F"/>
    <w:rsid w:val="00176D6F"/>
    <w:rsid w:val="00176FC0"/>
    <w:rsid w:val="001772E5"/>
    <w:rsid w:val="0017737A"/>
    <w:rsid w:val="0017766D"/>
    <w:rsid w:val="00177CF7"/>
    <w:rsid w:val="00177D03"/>
    <w:rsid w:val="00180059"/>
    <w:rsid w:val="00180216"/>
    <w:rsid w:val="00180A65"/>
    <w:rsid w:val="00180AB6"/>
    <w:rsid w:val="00180DBF"/>
    <w:rsid w:val="00180F12"/>
    <w:rsid w:val="0018131A"/>
    <w:rsid w:val="00181484"/>
    <w:rsid w:val="00181F6F"/>
    <w:rsid w:val="00182090"/>
    <w:rsid w:val="001824DC"/>
    <w:rsid w:val="001829D1"/>
    <w:rsid w:val="00182A0C"/>
    <w:rsid w:val="00182C88"/>
    <w:rsid w:val="00182FFE"/>
    <w:rsid w:val="001833A4"/>
    <w:rsid w:val="00183498"/>
    <w:rsid w:val="001835F0"/>
    <w:rsid w:val="00183994"/>
    <w:rsid w:val="00183AF8"/>
    <w:rsid w:val="00183C4B"/>
    <w:rsid w:val="00183EFC"/>
    <w:rsid w:val="00183F4C"/>
    <w:rsid w:val="00183FD0"/>
    <w:rsid w:val="00184BD5"/>
    <w:rsid w:val="00184BDE"/>
    <w:rsid w:val="00184D1A"/>
    <w:rsid w:val="00184DE7"/>
    <w:rsid w:val="00184F5D"/>
    <w:rsid w:val="001854E0"/>
    <w:rsid w:val="001855C3"/>
    <w:rsid w:val="001858E7"/>
    <w:rsid w:val="00185915"/>
    <w:rsid w:val="00185A84"/>
    <w:rsid w:val="00185B93"/>
    <w:rsid w:val="001860DE"/>
    <w:rsid w:val="00186401"/>
    <w:rsid w:val="0018655A"/>
    <w:rsid w:val="00186903"/>
    <w:rsid w:val="00186A02"/>
    <w:rsid w:val="00186CAF"/>
    <w:rsid w:val="00186E01"/>
    <w:rsid w:val="00186ECB"/>
    <w:rsid w:val="00186EF9"/>
    <w:rsid w:val="001870F4"/>
    <w:rsid w:val="00187444"/>
    <w:rsid w:val="0018798B"/>
    <w:rsid w:val="00187EB2"/>
    <w:rsid w:val="001900BB"/>
    <w:rsid w:val="0019033A"/>
    <w:rsid w:val="00190B03"/>
    <w:rsid w:val="00190B2E"/>
    <w:rsid w:val="00190B84"/>
    <w:rsid w:val="001917AF"/>
    <w:rsid w:val="00191C3E"/>
    <w:rsid w:val="00191CFC"/>
    <w:rsid w:val="001922C2"/>
    <w:rsid w:val="00192948"/>
    <w:rsid w:val="0019298F"/>
    <w:rsid w:val="00192A68"/>
    <w:rsid w:val="00192A8B"/>
    <w:rsid w:val="00192D65"/>
    <w:rsid w:val="00192DF6"/>
    <w:rsid w:val="0019325F"/>
    <w:rsid w:val="001933A2"/>
    <w:rsid w:val="001935FF"/>
    <w:rsid w:val="00193695"/>
    <w:rsid w:val="00194037"/>
    <w:rsid w:val="00194720"/>
    <w:rsid w:val="00194B83"/>
    <w:rsid w:val="00194F27"/>
    <w:rsid w:val="00195685"/>
    <w:rsid w:val="001956C6"/>
    <w:rsid w:val="00195D57"/>
    <w:rsid w:val="00195EEB"/>
    <w:rsid w:val="00195F00"/>
    <w:rsid w:val="001964CC"/>
    <w:rsid w:val="0019650C"/>
    <w:rsid w:val="001966EC"/>
    <w:rsid w:val="00196B23"/>
    <w:rsid w:val="00197061"/>
    <w:rsid w:val="0019749B"/>
    <w:rsid w:val="001974CC"/>
    <w:rsid w:val="00197C4D"/>
    <w:rsid w:val="001A02FA"/>
    <w:rsid w:val="001A07B6"/>
    <w:rsid w:val="001A0B8A"/>
    <w:rsid w:val="001A0E5A"/>
    <w:rsid w:val="001A0E6C"/>
    <w:rsid w:val="001A0EB8"/>
    <w:rsid w:val="001A101A"/>
    <w:rsid w:val="001A1A3A"/>
    <w:rsid w:val="001A1C1D"/>
    <w:rsid w:val="001A1D62"/>
    <w:rsid w:val="001A1DF7"/>
    <w:rsid w:val="001A1F85"/>
    <w:rsid w:val="001A225A"/>
    <w:rsid w:val="001A2A49"/>
    <w:rsid w:val="001A2FB5"/>
    <w:rsid w:val="001A366F"/>
    <w:rsid w:val="001A4195"/>
    <w:rsid w:val="001A4478"/>
    <w:rsid w:val="001A4B6C"/>
    <w:rsid w:val="001A4BF9"/>
    <w:rsid w:val="001A5086"/>
    <w:rsid w:val="001A55B9"/>
    <w:rsid w:val="001A5689"/>
    <w:rsid w:val="001A5DD8"/>
    <w:rsid w:val="001A5EBF"/>
    <w:rsid w:val="001A5F67"/>
    <w:rsid w:val="001A6128"/>
    <w:rsid w:val="001A6269"/>
    <w:rsid w:val="001A6277"/>
    <w:rsid w:val="001A6963"/>
    <w:rsid w:val="001A698B"/>
    <w:rsid w:val="001A6A26"/>
    <w:rsid w:val="001A6C73"/>
    <w:rsid w:val="001A6DA8"/>
    <w:rsid w:val="001A706C"/>
    <w:rsid w:val="001A71EA"/>
    <w:rsid w:val="001A77C4"/>
    <w:rsid w:val="001A77F1"/>
    <w:rsid w:val="001A7D99"/>
    <w:rsid w:val="001B0343"/>
    <w:rsid w:val="001B0A03"/>
    <w:rsid w:val="001B0BCD"/>
    <w:rsid w:val="001B0C08"/>
    <w:rsid w:val="001B0D88"/>
    <w:rsid w:val="001B0DDF"/>
    <w:rsid w:val="001B0FD5"/>
    <w:rsid w:val="001B11E1"/>
    <w:rsid w:val="001B14AF"/>
    <w:rsid w:val="001B1651"/>
    <w:rsid w:val="001B1745"/>
    <w:rsid w:val="001B1A38"/>
    <w:rsid w:val="001B1B5C"/>
    <w:rsid w:val="001B1BE9"/>
    <w:rsid w:val="001B1E29"/>
    <w:rsid w:val="001B21E9"/>
    <w:rsid w:val="001B2508"/>
    <w:rsid w:val="001B2774"/>
    <w:rsid w:val="001B2A65"/>
    <w:rsid w:val="001B2E70"/>
    <w:rsid w:val="001B2F25"/>
    <w:rsid w:val="001B2F42"/>
    <w:rsid w:val="001B3377"/>
    <w:rsid w:val="001B3519"/>
    <w:rsid w:val="001B367A"/>
    <w:rsid w:val="001B3D26"/>
    <w:rsid w:val="001B3E89"/>
    <w:rsid w:val="001B4037"/>
    <w:rsid w:val="001B45FF"/>
    <w:rsid w:val="001B47ED"/>
    <w:rsid w:val="001B49BA"/>
    <w:rsid w:val="001B4AC3"/>
    <w:rsid w:val="001B4D89"/>
    <w:rsid w:val="001B4EBB"/>
    <w:rsid w:val="001B5171"/>
    <w:rsid w:val="001B533A"/>
    <w:rsid w:val="001B53E9"/>
    <w:rsid w:val="001B5473"/>
    <w:rsid w:val="001B598F"/>
    <w:rsid w:val="001B5A32"/>
    <w:rsid w:val="001B5AC2"/>
    <w:rsid w:val="001B5B4D"/>
    <w:rsid w:val="001B5C45"/>
    <w:rsid w:val="001B5CCC"/>
    <w:rsid w:val="001B6082"/>
    <w:rsid w:val="001B6422"/>
    <w:rsid w:val="001B64C7"/>
    <w:rsid w:val="001B6544"/>
    <w:rsid w:val="001B661F"/>
    <w:rsid w:val="001B6864"/>
    <w:rsid w:val="001B6B71"/>
    <w:rsid w:val="001B6DCC"/>
    <w:rsid w:val="001B6DD2"/>
    <w:rsid w:val="001B6F50"/>
    <w:rsid w:val="001B6F94"/>
    <w:rsid w:val="001B6FE5"/>
    <w:rsid w:val="001B75B8"/>
    <w:rsid w:val="001B7B24"/>
    <w:rsid w:val="001B7C57"/>
    <w:rsid w:val="001C0090"/>
    <w:rsid w:val="001C0111"/>
    <w:rsid w:val="001C0B4A"/>
    <w:rsid w:val="001C10FB"/>
    <w:rsid w:val="001C127F"/>
    <w:rsid w:val="001C135A"/>
    <w:rsid w:val="001C195F"/>
    <w:rsid w:val="001C1E77"/>
    <w:rsid w:val="001C238C"/>
    <w:rsid w:val="001C25DA"/>
    <w:rsid w:val="001C2782"/>
    <w:rsid w:val="001C2812"/>
    <w:rsid w:val="001C2AB1"/>
    <w:rsid w:val="001C2C59"/>
    <w:rsid w:val="001C2D25"/>
    <w:rsid w:val="001C2EFE"/>
    <w:rsid w:val="001C30B5"/>
    <w:rsid w:val="001C3212"/>
    <w:rsid w:val="001C3850"/>
    <w:rsid w:val="001C38F2"/>
    <w:rsid w:val="001C3B36"/>
    <w:rsid w:val="001C3C9A"/>
    <w:rsid w:val="001C3F18"/>
    <w:rsid w:val="001C4576"/>
    <w:rsid w:val="001C4B50"/>
    <w:rsid w:val="001C4B75"/>
    <w:rsid w:val="001C4BE3"/>
    <w:rsid w:val="001C4C68"/>
    <w:rsid w:val="001C4DBD"/>
    <w:rsid w:val="001C504E"/>
    <w:rsid w:val="001C5147"/>
    <w:rsid w:val="001C51DC"/>
    <w:rsid w:val="001C525C"/>
    <w:rsid w:val="001C53E0"/>
    <w:rsid w:val="001C57DD"/>
    <w:rsid w:val="001C5D71"/>
    <w:rsid w:val="001C5F21"/>
    <w:rsid w:val="001C610C"/>
    <w:rsid w:val="001C616C"/>
    <w:rsid w:val="001C6675"/>
    <w:rsid w:val="001C668B"/>
    <w:rsid w:val="001C68EB"/>
    <w:rsid w:val="001C69B9"/>
    <w:rsid w:val="001C6B47"/>
    <w:rsid w:val="001C6B93"/>
    <w:rsid w:val="001C6DB3"/>
    <w:rsid w:val="001C710A"/>
    <w:rsid w:val="001C727A"/>
    <w:rsid w:val="001C743C"/>
    <w:rsid w:val="001C7934"/>
    <w:rsid w:val="001C7C00"/>
    <w:rsid w:val="001C7C25"/>
    <w:rsid w:val="001C7F5E"/>
    <w:rsid w:val="001D07BF"/>
    <w:rsid w:val="001D07D3"/>
    <w:rsid w:val="001D0FAF"/>
    <w:rsid w:val="001D1A32"/>
    <w:rsid w:val="001D1D65"/>
    <w:rsid w:val="001D2181"/>
    <w:rsid w:val="001D2619"/>
    <w:rsid w:val="001D26E3"/>
    <w:rsid w:val="001D2869"/>
    <w:rsid w:val="001D3054"/>
    <w:rsid w:val="001D32BE"/>
    <w:rsid w:val="001D33C2"/>
    <w:rsid w:val="001D33F5"/>
    <w:rsid w:val="001D3505"/>
    <w:rsid w:val="001D3FA9"/>
    <w:rsid w:val="001D4162"/>
    <w:rsid w:val="001D4438"/>
    <w:rsid w:val="001D4887"/>
    <w:rsid w:val="001D4A79"/>
    <w:rsid w:val="001D4BBD"/>
    <w:rsid w:val="001D4ED9"/>
    <w:rsid w:val="001D5366"/>
    <w:rsid w:val="001D5EA4"/>
    <w:rsid w:val="001D5ED5"/>
    <w:rsid w:val="001D6500"/>
    <w:rsid w:val="001D666C"/>
    <w:rsid w:val="001D674F"/>
    <w:rsid w:val="001D6DC3"/>
    <w:rsid w:val="001D7039"/>
    <w:rsid w:val="001D7290"/>
    <w:rsid w:val="001D7319"/>
    <w:rsid w:val="001D7562"/>
    <w:rsid w:val="001D7665"/>
    <w:rsid w:val="001D774B"/>
    <w:rsid w:val="001D786B"/>
    <w:rsid w:val="001D7A27"/>
    <w:rsid w:val="001D7D62"/>
    <w:rsid w:val="001D7F50"/>
    <w:rsid w:val="001E035A"/>
    <w:rsid w:val="001E0578"/>
    <w:rsid w:val="001E05C0"/>
    <w:rsid w:val="001E05C7"/>
    <w:rsid w:val="001E05D5"/>
    <w:rsid w:val="001E0859"/>
    <w:rsid w:val="001E0E90"/>
    <w:rsid w:val="001E0F7C"/>
    <w:rsid w:val="001E163B"/>
    <w:rsid w:val="001E18B3"/>
    <w:rsid w:val="001E1B4A"/>
    <w:rsid w:val="001E1C2F"/>
    <w:rsid w:val="001E1D22"/>
    <w:rsid w:val="001E1FD9"/>
    <w:rsid w:val="001E2433"/>
    <w:rsid w:val="001E24CB"/>
    <w:rsid w:val="001E2BD3"/>
    <w:rsid w:val="001E2BF5"/>
    <w:rsid w:val="001E30BD"/>
    <w:rsid w:val="001E32D1"/>
    <w:rsid w:val="001E343E"/>
    <w:rsid w:val="001E3474"/>
    <w:rsid w:val="001E3614"/>
    <w:rsid w:val="001E369C"/>
    <w:rsid w:val="001E40D5"/>
    <w:rsid w:val="001E52FA"/>
    <w:rsid w:val="001E54FF"/>
    <w:rsid w:val="001E58FB"/>
    <w:rsid w:val="001E5E7A"/>
    <w:rsid w:val="001E608E"/>
    <w:rsid w:val="001E6131"/>
    <w:rsid w:val="001E6233"/>
    <w:rsid w:val="001E62D4"/>
    <w:rsid w:val="001E6825"/>
    <w:rsid w:val="001E68F3"/>
    <w:rsid w:val="001E6A7F"/>
    <w:rsid w:val="001E6C05"/>
    <w:rsid w:val="001E70C7"/>
    <w:rsid w:val="001E7348"/>
    <w:rsid w:val="001E7518"/>
    <w:rsid w:val="001E7A4C"/>
    <w:rsid w:val="001E7B6F"/>
    <w:rsid w:val="001E7BA5"/>
    <w:rsid w:val="001E7C09"/>
    <w:rsid w:val="001E7FA3"/>
    <w:rsid w:val="001F007C"/>
    <w:rsid w:val="001F0106"/>
    <w:rsid w:val="001F0468"/>
    <w:rsid w:val="001F04F8"/>
    <w:rsid w:val="001F0A0A"/>
    <w:rsid w:val="001F0AD6"/>
    <w:rsid w:val="001F0E0C"/>
    <w:rsid w:val="001F16CD"/>
    <w:rsid w:val="001F1894"/>
    <w:rsid w:val="001F19FE"/>
    <w:rsid w:val="001F1D2D"/>
    <w:rsid w:val="001F2407"/>
    <w:rsid w:val="001F2530"/>
    <w:rsid w:val="001F2918"/>
    <w:rsid w:val="001F3469"/>
    <w:rsid w:val="001F3B72"/>
    <w:rsid w:val="001F3D1D"/>
    <w:rsid w:val="001F3F50"/>
    <w:rsid w:val="001F3FC1"/>
    <w:rsid w:val="001F4064"/>
    <w:rsid w:val="001F4299"/>
    <w:rsid w:val="001F4391"/>
    <w:rsid w:val="001F45D4"/>
    <w:rsid w:val="001F465D"/>
    <w:rsid w:val="001F4A72"/>
    <w:rsid w:val="001F4B8C"/>
    <w:rsid w:val="001F5714"/>
    <w:rsid w:val="001F57F3"/>
    <w:rsid w:val="001F5F46"/>
    <w:rsid w:val="001F647E"/>
    <w:rsid w:val="001F6537"/>
    <w:rsid w:val="001F6649"/>
    <w:rsid w:val="001F684A"/>
    <w:rsid w:val="001F6FC9"/>
    <w:rsid w:val="001F7083"/>
    <w:rsid w:val="001F7450"/>
    <w:rsid w:val="001F75D8"/>
    <w:rsid w:val="001F76B6"/>
    <w:rsid w:val="001F77F8"/>
    <w:rsid w:val="001F7FAB"/>
    <w:rsid w:val="002002F6"/>
    <w:rsid w:val="002004FD"/>
    <w:rsid w:val="00200578"/>
    <w:rsid w:val="00201134"/>
    <w:rsid w:val="002014DF"/>
    <w:rsid w:val="00201758"/>
    <w:rsid w:val="00202153"/>
    <w:rsid w:val="00202DDF"/>
    <w:rsid w:val="0020331C"/>
    <w:rsid w:val="0020342C"/>
    <w:rsid w:val="002037B3"/>
    <w:rsid w:val="00203A6D"/>
    <w:rsid w:val="00203B9F"/>
    <w:rsid w:val="00203E5D"/>
    <w:rsid w:val="00203FD9"/>
    <w:rsid w:val="002041C4"/>
    <w:rsid w:val="00204679"/>
    <w:rsid w:val="002048D3"/>
    <w:rsid w:val="00204A99"/>
    <w:rsid w:val="00204D4B"/>
    <w:rsid w:val="00205089"/>
    <w:rsid w:val="0020532D"/>
    <w:rsid w:val="00205B58"/>
    <w:rsid w:val="00205BAE"/>
    <w:rsid w:val="00205CA8"/>
    <w:rsid w:val="00205DCD"/>
    <w:rsid w:val="00205F7C"/>
    <w:rsid w:val="00205FB4"/>
    <w:rsid w:val="002061A1"/>
    <w:rsid w:val="002066FC"/>
    <w:rsid w:val="00206CC6"/>
    <w:rsid w:val="00207182"/>
    <w:rsid w:val="00207317"/>
    <w:rsid w:val="002077A5"/>
    <w:rsid w:val="00207A83"/>
    <w:rsid w:val="00207B57"/>
    <w:rsid w:val="00207F42"/>
    <w:rsid w:val="00210103"/>
    <w:rsid w:val="00210134"/>
    <w:rsid w:val="00210275"/>
    <w:rsid w:val="00210450"/>
    <w:rsid w:val="002104D3"/>
    <w:rsid w:val="00210BF9"/>
    <w:rsid w:val="00210C1B"/>
    <w:rsid w:val="00211092"/>
    <w:rsid w:val="0021183B"/>
    <w:rsid w:val="00211A4E"/>
    <w:rsid w:val="00211B97"/>
    <w:rsid w:val="00211C55"/>
    <w:rsid w:val="00211DF2"/>
    <w:rsid w:val="00211F24"/>
    <w:rsid w:val="0021284B"/>
    <w:rsid w:val="00212BBD"/>
    <w:rsid w:val="00212C0C"/>
    <w:rsid w:val="00212ED1"/>
    <w:rsid w:val="0021347A"/>
    <w:rsid w:val="00213619"/>
    <w:rsid w:val="00213C34"/>
    <w:rsid w:val="00213F60"/>
    <w:rsid w:val="002140B6"/>
    <w:rsid w:val="0021421F"/>
    <w:rsid w:val="00214271"/>
    <w:rsid w:val="0021477C"/>
    <w:rsid w:val="002147E2"/>
    <w:rsid w:val="00214BA2"/>
    <w:rsid w:val="00214E47"/>
    <w:rsid w:val="00214FB7"/>
    <w:rsid w:val="002157BB"/>
    <w:rsid w:val="00215827"/>
    <w:rsid w:val="00215925"/>
    <w:rsid w:val="00215B26"/>
    <w:rsid w:val="00215CA7"/>
    <w:rsid w:val="00215E4F"/>
    <w:rsid w:val="0021617E"/>
    <w:rsid w:val="002161EF"/>
    <w:rsid w:val="002163E7"/>
    <w:rsid w:val="00216901"/>
    <w:rsid w:val="00216A41"/>
    <w:rsid w:val="00216E76"/>
    <w:rsid w:val="00216E92"/>
    <w:rsid w:val="00216FAE"/>
    <w:rsid w:val="00216FD8"/>
    <w:rsid w:val="00217040"/>
    <w:rsid w:val="00217544"/>
    <w:rsid w:val="0021765D"/>
    <w:rsid w:val="002176D6"/>
    <w:rsid w:val="00217750"/>
    <w:rsid w:val="00217E19"/>
    <w:rsid w:val="00217E28"/>
    <w:rsid w:val="00220095"/>
    <w:rsid w:val="0022047D"/>
    <w:rsid w:val="00220568"/>
    <w:rsid w:val="002205A7"/>
    <w:rsid w:val="00220C2A"/>
    <w:rsid w:val="00220E37"/>
    <w:rsid w:val="00221416"/>
    <w:rsid w:val="0022178D"/>
    <w:rsid w:val="00221BBD"/>
    <w:rsid w:val="00221BFB"/>
    <w:rsid w:val="0022214D"/>
    <w:rsid w:val="00222E1B"/>
    <w:rsid w:val="00222F5E"/>
    <w:rsid w:val="00223003"/>
    <w:rsid w:val="002231FD"/>
    <w:rsid w:val="00223F1E"/>
    <w:rsid w:val="00224948"/>
    <w:rsid w:val="00224964"/>
    <w:rsid w:val="00224A0D"/>
    <w:rsid w:val="00224A22"/>
    <w:rsid w:val="00225729"/>
    <w:rsid w:val="00225BA7"/>
    <w:rsid w:val="002263EE"/>
    <w:rsid w:val="00226405"/>
    <w:rsid w:val="002265CA"/>
    <w:rsid w:val="00226811"/>
    <w:rsid w:val="00226C19"/>
    <w:rsid w:val="00226DE6"/>
    <w:rsid w:val="00227244"/>
    <w:rsid w:val="0022757E"/>
    <w:rsid w:val="0022788A"/>
    <w:rsid w:val="00227943"/>
    <w:rsid w:val="00227AFA"/>
    <w:rsid w:val="00227C7B"/>
    <w:rsid w:val="002305D2"/>
    <w:rsid w:val="00230653"/>
    <w:rsid w:val="00230AF7"/>
    <w:rsid w:val="0023100F"/>
    <w:rsid w:val="00231022"/>
    <w:rsid w:val="00231109"/>
    <w:rsid w:val="00231387"/>
    <w:rsid w:val="00231508"/>
    <w:rsid w:val="00231731"/>
    <w:rsid w:val="0023176B"/>
    <w:rsid w:val="00231852"/>
    <w:rsid w:val="00231C30"/>
    <w:rsid w:val="00231E0A"/>
    <w:rsid w:val="002320D4"/>
    <w:rsid w:val="00232557"/>
    <w:rsid w:val="002328D8"/>
    <w:rsid w:val="00232A02"/>
    <w:rsid w:val="00232F9F"/>
    <w:rsid w:val="0023328C"/>
    <w:rsid w:val="00233588"/>
    <w:rsid w:val="002343D8"/>
    <w:rsid w:val="002346FC"/>
    <w:rsid w:val="00234700"/>
    <w:rsid w:val="00234A4E"/>
    <w:rsid w:val="00234DF9"/>
    <w:rsid w:val="00234F01"/>
    <w:rsid w:val="00234F0C"/>
    <w:rsid w:val="0023523A"/>
    <w:rsid w:val="00235293"/>
    <w:rsid w:val="002352B0"/>
    <w:rsid w:val="0023546F"/>
    <w:rsid w:val="00235B19"/>
    <w:rsid w:val="00235C4C"/>
    <w:rsid w:val="00235D6C"/>
    <w:rsid w:val="00236217"/>
    <w:rsid w:val="002367DA"/>
    <w:rsid w:val="002369A9"/>
    <w:rsid w:val="00236B57"/>
    <w:rsid w:val="00236D8F"/>
    <w:rsid w:val="00236E43"/>
    <w:rsid w:val="00237141"/>
    <w:rsid w:val="00237299"/>
    <w:rsid w:val="002373AD"/>
    <w:rsid w:val="00237655"/>
    <w:rsid w:val="00237C4E"/>
    <w:rsid w:val="002400F9"/>
    <w:rsid w:val="0024051D"/>
    <w:rsid w:val="00240B5B"/>
    <w:rsid w:val="0024123C"/>
    <w:rsid w:val="00241514"/>
    <w:rsid w:val="00241CD6"/>
    <w:rsid w:val="00241CFB"/>
    <w:rsid w:val="00241D0E"/>
    <w:rsid w:val="00241E8D"/>
    <w:rsid w:val="00242081"/>
    <w:rsid w:val="002421CC"/>
    <w:rsid w:val="002428BF"/>
    <w:rsid w:val="00243C18"/>
    <w:rsid w:val="00243F0C"/>
    <w:rsid w:val="002449BB"/>
    <w:rsid w:val="00244E8E"/>
    <w:rsid w:val="00245006"/>
    <w:rsid w:val="00245138"/>
    <w:rsid w:val="002453E6"/>
    <w:rsid w:val="00245472"/>
    <w:rsid w:val="002457CD"/>
    <w:rsid w:val="00245891"/>
    <w:rsid w:val="00245962"/>
    <w:rsid w:val="00246022"/>
    <w:rsid w:val="0024612F"/>
    <w:rsid w:val="00246903"/>
    <w:rsid w:val="0024690E"/>
    <w:rsid w:val="002469D6"/>
    <w:rsid w:val="00246C53"/>
    <w:rsid w:val="00247294"/>
    <w:rsid w:val="00247359"/>
    <w:rsid w:val="00247511"/>
    <w:rsid w:val="00247533"/>
    <w:rsid w:val="002477C3"/>
    <w:rsid w:val="00247BA6"/>
    <w:rsid w:val="00247C98"/>
    <w:rsid w:val="00247D14"/>
    <w:rsid w:val="00247D3D"/>
    <w:rsid w:val="00247F12"/>
    <w:rsid w:val="00247F39"/>
    <w:rsid w:val="00250404"/>
    <w:rsid w:val="00250576"/>
    <w:rsid w:val="00250636"/>
    <w:rsid w:val="00250685"/>
    <w:rsid w:val="00250690"/>
    <w:rsid w:val="002506DD"/>
    <w:rsid w:val="00250885"/>
    <w:rsid w:val="00250929"/>
    <w:rsid w:val="00250A43"/>
    <w:rsid w:val="00250B9B"/>
    <w:rsid w:val="00250DC1"/>
    <w:rsid w:val="00250F71"/>
    <w:rsid w:val="00251C1C"/>
    <w:rsid w:val="00252A7F"/>
    <w:rsid w:val="00252BFE"/>
    <w:rsid w:val="00252D21"/>
    <w:rsid w:val="00252E02"/>
    <w:rsid w:val="00253346"/>
    <w:rsid w:val="002533A3"/>
    <w:rsid w:val="00253499"/>
    <w:rsid w:val="0025395D"/>
    <w:rsid w:val="00253A96"/>
    <w:rsid w:val="00253DA5"/>
    <w:rsid w:val="00254B94"/>
    <w:rsid w:val="00254C8B"/>
    <w:rsid w:val="00254CE8"/>
    <w:rsid w:val="00254D1E"/>
    <w:rsid w:val="00254D2C"/>
    <w:rsid w:val="00255644"/>
    <w:rsid w:val="002557F2"/>
    <w:rsid w:val="00255B20"/>
    <w:rsid w:val="00255D64"/>
    <w:rsid w:val="00255E12"/>
    <w:rsid w:val="00255E38"/>
    <w:rsid w:val="002560F3"/>
    <w:rsid w:val="0025611B"/>
    <w:rsid w:val="0025617F"/>
    <w:rsid w:val="002562E7"/>
    <w:rsid w:val="002563F1"/>
    <w:rsid w:val="00256727"/>
    <w:rsid w:val="002567C4"/>
    <w:rsid w:val="00256DC7"/>
    <w:rsid w:val="00256EE3"/>
    <w:rsid w:val="00257552"/>
    <w:rsid w:val="00257581"/>
    <w:rsid w:val="002578FD"/>
    <w:rsid w:val="00257B86"/>
    <w:rsid w:val="00257CF0"/>
    <w:rsid w:val="00260047"/>
    <w:rsid w:val="0026023C"/>
    <w:rsid w:val="0026077D"/>
    <w:rsid w:val="002607BD"/>
    <w:rsid w:val="00260A3F"/>
    <w:rsid w:val="00260C2B"/>
    <w:rsid w:val="00261303"/>
    <w:rsid w:val="00261306"/>
    <w:rsid w:val="00261645"/>
    <w:rsid w:val="00261B38"/>
    <w:rsid w:val="00261DD1"/>
    <w:rsid w:val="00262839"/>
    <w:rsid w:val="00262E6C"/>
    <w:rsid w:val="00263152"/>
    <w:rsid w:val="00263459"/>
    <w:rsid w:val="00263470"/>
    <w:rsid w:val="0026353D"/>
    <w:rsid w:val="00263827"/>
    <w:rsid w:val="00263A6B"/>
    <w:rsid w:val="00263C02"/>
    <w:rsid w:val="00264253"/>
    <w:rsid w:val="002647B3"/>
    <w:rsid w:val="00264F19"/>
    <w:rsid w:val="00265201"/>
    <w:rsid w:val="00265507"/>
    <w:rsid w:val="00265958"/>
    <w:rsid w:val="00265E71"/>
    <w:rsid w:val="002660B3"/>
    <w:rsid w:val="002665F7"/>
    <w:rsid w:val="00266954"/>
    <w:rsid w:val="0026727E"/>
    <w:rsid w:val="002678DB"/>
    <w:rsid w:val="00267CCF"/>
    <w:rsid w:val="00270148"/>
    <w:rsid w:val="002703B7"/>
    <w:rsid w:val="00270554"/>
    <w:rsid w:val="0027055E"/>
    <w:rsid w:val="002706AE"/>
    <w:rsid w:val="002706BF"/>
    <w:rsid w:val="00270716"/>
    <w:rsid w:val="00270F09"/>
    <w:rsid w:val="00270FFF"/>
    <w:rsid w:val="0027108C"/>
    <w:rsid w:val="00271299"/>
    <w:rsid w:val="00271424"/>
    <w:rsid w:val="002714BD"/>
    <w:rsid w:val="00271913"/>
    <w:rsid w:val="00271998"/>
    <w:rsid w:val="00271CF4"/>
    <w:rsid w:val="00271D59"/>
    <w:rsid w:val="00271F24"/>
    <w:rsid w:val="00272289"/>
    <w:rsid w:val="0027326D"/>
    <w:rsid w:val="00273784"/>
    <w:rsid w:val="002738CF"/>
    <w:rsid w:val="00273DF0"/>
    <w:rsid w:val="00273E1D"/>
    <w:rsid w:val="002741AD"/>
    <w:rsid w:val="00274493"/>
    <w:rsid w:val="00274710"/>
    <w:rsid w:val="00274A12"/>
    <w:rsid w:val="002752FB"/>
    <w:rsid w:val="0027533F"/>
    <w:rsid w:val="00275549"/>
    <w:rsid w:val="00275585"/>
    <w:rsid w:val="00275D6E"/>
    <w:rsid w:val="00275F84"/>
    <w:rsid w:val="00276088"/>
    <w:rsid w:val="00276224"/>
    <w:rsid w:val="0027633F"/>
    <w:rsid w:val="0027635D"/>
    <w:rsid w:val="002766B9"/>
    <w:rsid w:val="00276F33"/>
    <w:rsid w:val="00276FA8"/>
    <w:rsid w:val="002770AE"/>
    <w:rsid w:val="0027725B"/>
    <w:rsid w:val="0027772A"/>
    <w:rsid w:val="002777B5"/>
    <w:rsid w:val="002779EB"/>
    <w:rsid w:val="00277B78"/>
    <w:rsid w:val="00277C47"/>
    <w:rsid w:val="00277E54"/>
    <w:rsid w:val="00280187"/>
    <w:rsid w:val="002802F6"/>
    <w:rsid w:val="002804EA"/>
    <w:rsid w:val="00280B81"/>
    <w:rsid w:val="0028197B"/>
    <w:rsid w:val="00281A0F"/>
    <w:rsid w:val="00281BC2"/>
    <w:rsid w:val="00281E2D"/>
    <w:rsid w:val="00281E8D"/>
    <w:rsid w:val="00282008"/>
    <w:rsid w:val="00282016"/>
    <w:rsid w:val="002821DF"/>
    <w:rsid w:val="00282210"/>
    <w:rsid w:val="002822E0"/>
    <w:rsid w:val="002823D3"/>
    <w:rsid w:val="00282CEE"/>
    <w:rsid w:val="002830A5"/>
    <w:rsid w:val="002830B7"/>
    <w:rsid w:val="0028325B"/>
    <w:rsid w:val="002835F5"/>
    <w:rsid w:val="00283692"/>
    <w:rsid w:val="00283694"/>
    <w:rsid w:val="002837FB"/>
    <w:rsid w:val="00283D3A"/>
    <w:rsid w:val="0028414C"/>
    <w:rsid w:val="002843BC"/>
    <w:rsid w:val="00284ACD"/>
    <w:rsid w:val="00284ED0"/>
    <w:rsid w:val="00285216"/>
    <w:rsid w:val="0028530E"/>
    <w:rsid w:val="00285785"/>
    <w:rsid w:val="00285ED2"/>
    <w:rsid w:val="00285EF3"/>
    <w:rsid w:val="0028601E"/>
    <w:rsid w:val="002865B6"/>
    <w:rsid w:val="002866EA"/>
    <w:rsid w:val="002867D0"/>
    <w:rsid w:val="00286980"/>
    <w:rsid w:val="00286BC4"/>
    <w:rsid w:val="00286DD6"/>
    <w:rsid w:val="00286E56"/>
    <w:rsid w:val="00286F21"/>
    <w:rsid w:val="00286FAF"/>
    <w:rsid w:val="0028704E"/>
    <w:rsid w:val="0028712E"/>
    <w:rsid w:val="0028759E"/>
    <w:rsid w:val="00287790"/>
    <w:rsid w:val="00287E59"/>
    <w:rsid w:val="002901CB"/>
    <w:rsid w:val="0029047D"/>
    <w:rsid w:val="00290876"/>
    <w:rsid w:val="00290E02"/>
    <w:rsid w:val="00290EFF"/>
    <w:rsid w:val="0029181B"/>
    <w:rsid w:val="00291832"/>
    <w:rsid w:val="00291D7C"/>
    <w:rsid w:val="00291E4B"/>
    <w:rsid w:val="00291F58"/>
    <w:rsid w:val="0029244C"/>
    <w:rsid w:val="00292484"/>
    <w:rsid w:val="00292B0D"/>
    <w:rsid w:val="00293135"/>
    <w:rsid w:val="002937BD"/>
    <w:rsid w:val="0029390C"/>
    <w:rsid w:val="002939FB"/>
    <w:rsid w:val="00293CC9"/>
    <w:rsid w:val="00293D01"/>
    <w:rsid w:val="00294708"/>
    <w:rsid w:val="00294BA0"/>
    <w:rsid w:val="00294F41"/>
    <w:rsid w:val="00294FA1"/>
    <w:rsid w:val="0029526F"/>
    <w:rsid w:val="002955C3"/>
    <w:rsid w:val="0029584F"/>
    <w:rsid w:val="00295960"/>
    <w:rsid w:val="00295D40"/>
    <w:rsid w:val="00295D79"/>
    <w:rsid w:val="00295EBE"/>
    <w:rsid w:val="00295F40"/>
    <w:rsid w:val="002963CE"/>
    <w:rsid w:val="002964DE"/>
    <w:rsid w:val="002969A2"/>
    <w:rsid w:val="00297308"/>
    <w:rsid w:val="002973F0"/>
    <w:rsid w:val="00297C56"/>
    <w:rsid w:val="002A0150"/>
    <w:rsid w:val="002A026E"/>
    <w:rsid w:val="002A0C11"/>
    <w:rsid w:val="002A1064"/>
    <w:rsid w:val="002A10F2"/>
    <w:rsid w:val="002A1368"/>
    <w:rsid w:val="002A1528"/>
    <w:rsid w:val="002A19BC"/>
    <w:rsid w:val="002A1AFF"/>
    <w:rsid w:val="002A1DC4"/>
    <w:rsid w:val="002A210D"/>
    <w:rsid w:val="002A2538"/>
    <w:rsid w:val="002A263D"/>
    <w:rsid w:val="002A30C2"/>
    <w:rsid w:val="002A3972"/>
    <w:rsid w:val="002A3A7F"/>
    <w:rsid w:val="002A4311"/>
    <w:rsid w:val="002A4989"/>
    <w:rsid w:val="002A4D08"/>
    <w:rsid w:val="002A591F"/>
    <w:rsid w:val="002A592C"/>
    <w:rsid w:val="002A5C54"/>
    <w:rsid w:val="002A5F65"/>
    <w:rsid w:val="002A6082"/>
    <w:rsid w:val="002A6141"/>
    <w:rsid w:val="002A62FF"/>
    <w:rsid w:val="002A6765"/>
    <w:rsid w:val="002A6989"/>
    <w:rsid w:val="002A6E6D"/>
    <w:rsid w:val="002A72D7"/>
    <w:rsid w:val="002A730C"/>
    <w:rsid w:val="002A74FE"/>
    <w:rsid w:val="002A76C0"/>
    <w:rsid w:val="002A7C8A"/>
    <w:rsid w:val="002A7DC6"/>
    <w:rsid w:val="002B01BB"/>
    <w:rsid w:val="002B06C7"/>
    <w:rsid w:val="002B0749"/>
    <w:rsid w:val="002B0762"/>
    <w:rsid w:val="002B0ABF"/>
    <w:rsid w:val="002B0EE4"/>
    <w:rsid w:val="002B0FCF"/>
    <w:rsid w:val="002B102F"/>
    <w:rsid w:val="002B141E"/>
    <w:rsid w:val="002B1569"/>
    <w:rsid w:val="002B160A"/>
    <w:rsid w:val="002B194D"/>
    <w:rsid w:val="002B1A2A"/>
    <w:rsid w:val="002B1E95"/>
    <w:rsid w:val="002B1EB3"/>
    <w:rsid w:val="002B1F76"/>
    <w:rsid w:val="002B2A5B"/>
    <w:rsid w:val="002B2AB6"/>
    <w:rsid w:val="002B301F"/>
    <w:rsid w:val="002B33D3"/>
    <w:rsid w:val="002B3909"/>
    <w:rsid w:val="002B39B0"/>
    <w:rsid w:val="002B3AD8"/>
    <w:rsid w:val="002B3C08"/>
    <w:rsid w:val="002B3CB1"/>
    <w:rsid w:val="002B3F30"/>
    <w:rsid w:val="002B4104"/>
    <w:rsid w:val="002B41DC"/>
    <w:rsid w:val="002B44A4"/>
    <w:rsid w:val="002B4BBC"/>
    <w:rsid w:val="002B4C16"/>
    <w:rsid w:val="002B4DA8"/>
    <w:rsid w:val="002B4DF4"/>
    <w:rsid w:val="002B56E3"/>
    <w:rsid w:val="002B5AE3"/>
    <w:rsid w:val="002B5BC0"/>
    <w:rsid w:val="002B6022"/>
    <w:rsid w:val="002B62DB"/>
    <w:rsid w:val="002B647B"/>
    <w:rsid w:val="002B6578"/>
    <w:rsid w:val="002B65AA"/>
    <w:rsid w:val="002B65D8"/>
    <w:rsid w:val="002B695A"/>
    <w:rsid w:val="002B699A"/>
    <w:rsid w:val="002B6BA5"/>
    <w:rsid w:val="002B6F0A"/>
    <w:rsid w:val="002B7651"/>
    <w:rsid w:val="002B765C"/>
    <w:rsid w:val="002B77FD"/>
    <w:rsid w:val="002B79E7"/>
    <w:rsid w:val="002B7A6A"/>
    <w:rsid w:val="002B7A80"/>
    <w:rsid w:val="002B7D4A"/>
    <w:rsid w:val="002B7E1B"/>
    <w:rsid w:val="002C00DD"/>
    <w:rsid w:val="002C0800"/>
    <w:rsid w:val="002C0971"/>
    <w:rsid w:val="002C0BB9"/>
    <w:rsid w:val="002C0E66"/>
    <w:rsid w:val="002C0F14"/>
    <w:rsid w:val="002C114B"/>
    <w:rsid w:val="002C12B1"/>
    <w:rsid w:val="002C160E"/>
    <w:rsid w:val="002C1AD7"/>
    <w:rsid w:val="002C1C13"/>
    <w:rsid w:val="002C1CF0"/>
    <w:rsid w:val="002C1EDB"/>
    <w:rsid w:val="002C1EF9"/>
    <w:rsid w:val="002C1FE8"/>
    <w:rsid w:val="002C2039"/>
    <w:rsid w:val="002C29A7"/>
    <w:rsid w:val="002C2B13"/>
    <w:rsid w:val="002C2B49"/>
    <w:rsid w:val="002C2F6D"/>
    <w:rsid w:val="002C3381"/>
    <w:rsid w:val="002C36DE"/>
    <w:rsid w:val="002C3AB8"/>
    <w:rsid w:val="002C404C"/>
    <w:rsid w:val="002C4060"/>
    <w:rsid w:val="002C4132"/>
    <w:rsid w:val="002C4729"/>
    <w:rsid w:val="002C47E2"/>
    <w:rsid w:val="002C4A58"/>
    <w:rsid w:val="002C4C64"/>
    <w:rsid w:val="002C4D71"/>
    <w:rsid w:val="002C4E10"/>
    <w:rsid w:val="002C4E43"/>
    <w:rsid w:val="002C56FC"/>
    <w:rsid w:val="002C5729"/>
    <w:rsid w:val="002C5812"/>
    <w:rsid w:val="002C590A"/>
    <w:rsid w:val="002C5F6B"/>
    <w:rsid w:val="002C628F"/>
    <w:rsid w:val="002C6613"/>
    <w:rsid w:val="002C6BCD"/>
    <w:rsid w:val="002C6C3F"/>
    <w:rsid w:val="002C6D57"/>
    <w:rsid w:val="002C6D72"/>
    <w:rsid w:val="002C74BA"/>
    <w:rsid w:val="002C775A"/>
    <w:rsid w:val="002C7791"/>
    <w:rsid w:val="002C7C48"/>
    <w:rsid w:val="002C7CBF"/>
    <w:rsid w:val="002D0308"/>
    <w:rsid w:val="002D0439"/>
    <w:rsid w:val="002D08B9"/>
    <w:rsid w:val="002D0A3D"/>
    <w:rsid w:val="002D15AA"/>
    <w:rsid w:val="002D16CC"/>
    <w:rsid w:val="002D1A00"/>
    <w:rsid w:val="002D1CD4"/>
    <w:rsid w:val="002D20F1"/>
    <w:rsid w:val="002D2278"/>
    <w:rsid w:val="002D2423"/>
    <w:rsid w:val="002D24FF"/>
    <w:rsid w:val="002D2A0B"/>
    <w:rsid w:val="002D2BF7"/>
    <w:rsid w:val="002D3584"/>
    <w:rsid w:val="002D369A"/>
    <w:rsid w:val="002D3FCA"/>
    <w:rsid w:val="002D4BF8"/>
    <w:rsid w:val="002D4F21"/>
    <w:rsid w:val="002D59D9"/>
    <w:rsid w:val="002D5FCD"/>
    <w:rsid w:val="002D6137"/>
    <w:rsid w:val="002D61EA"/>
    <w:rsid w:val="002D7D97"/>
    <w:rsid w:val="002D7F48"/>
    <w:rsid w:val="002D7F5E"/>
    <w:rsid w:val="002D7FC9"/>
    <w:rsid w:val="002E0293"/>
    <w:rsid w:val="002E033C"/>
    <w:rsid w:val="002E05D7"/>
    <w:rsid w:val="002E07FB"/>
    <w:rsid w:val="002E10EB"/>
    <w:rsid w:val="002E1169"/>
    <w:rsid w:val="002E130B"/>
    <w:rsid w:val="002E16B1"/>
    <w:rsid w:val="002E171F"/>
    <w:rsid w:val="002E1AB2"/>
    <w:rsid w:val="002E1D9E"/>
    <w:rsid w:val="002E2198"/>
    <w:rsid w:val="002E22CC"/>
    <w:rsid w:val="002E2413"/>
    <w:rsid w:val="002E245E"/>
    <w:rsid w:val="002E2758"/>
    <w:rsid w:val="002E2A53"/>
    <w:rsid w:val="002E2C75"/>
    <w:rsid w:val="002E3186"/>
    <w:rsid w:val="002E3662"/>
    <w:rsid w:val="002E3FC5"/>
    <w:rsid w:val="002E4142"/>
    <w:rsid w:val="002E460F"/>
    <w:rsid w:val="002E4A8A"/>
    <w:rsid w:val="002E4B20"/>
    <w:rsid w:val="002E4EE0"/>
    <w:rsid w:val="002E512F"/>
    <w:rsid w:val="002E55C6"/>
    <w:rsid w:val="002E579A"/>
    <w:rsid w:val="002E598E"/>
    <w:rsid w:val="002E5F3C"/>
    <w:rsid w:val="002E5FD9"/>
    <w:rsid w:val="002E6263"/>
    <w:rsid w:val="002E6960"/>
    <w:rsid w:val="002E7A64"/>
    <w:rsid w:val="002E7B17"/>
    <w:rsid w:val="002F0470"/>
    <w:rsid w:val="002F0709"/>
    <w:rsid w:val="002F07FC"/>
    <w:rsid w:val="002F0DF5"/>
    <w:rsid w:val="002F17F0"/>
    <w:rsid w:val="002F1964"/>
    <w:rsid w:val="002F21BF"/>
    <w:rsid w:val="002F2690"/>
    <w:rsid w:val="002F26D4"/>
    <w:rsid w:val="002F278B"/>
    <w:rsid w:val="002F2A67"/>
    <w:rsid w:val="002F2B64"/>
    <w:rsid w:val="002F2BF7"/>
    <w:rsid w:val="002F2E32"/>
    <w:rsid w:val="002F2E40"/>
    <w:rsid w:val="002F2F7A"/>
    <w:rsid w:val="002F31C2"/>
    <w:rsid w:val="002F37B4"/>
    <w:rsid w:val="002F383D"/>
    <w:rsid w:val="002F3CB8"/>
    <w:rsid w:val="002F3F71"/>
    <w:rsid w:val="002F3FD3"/>
    <w:rsid w:val="002F41C7"/>
    <w:rsid w:val="002F48EA"/>
    <w:rsid w:val="002F4B55"/>
    <w:rsid w:val="002F4B7F"/>
    <w:rsid w:val="002F5277"/>
    <w:rsid w:val="002F5EF5"/>
    <w:rsid w:val="002F625F"/>
    <w:rsid w:val="002F6456"/>
    <w:rsid w:val="002F6912"/>
    <w:rsid w:val="002F6A04"/>
    <w:rsid w:val="002F6AF3"/>
    <w:rsid w:val="002F798D"/>
    <w:rsid w:val="002F7A50"/>
    <w:rsid w:val="002F7E33"/>
    <w:rsid w:val="002F7F5B"/>
    <w:rsid w:val="0030055E"/>
    <w:rsid w:val="003005D0"/>
    <w:rsid w:val="00300D67"/>
    <w:rsid w:val="00300EA4"/>
    <w:rsid w:val="00300FF8"/>
    <w:rsid w:val="00301034"/>
    <w:rsid w:val="003010D1"/>
    <w:rsid w:val="0030121C"/>
    <w:rsid w:val="003012CD"/>
    <w:rsid w:val="0030193D"/>
    <w:rsid w:val="00301C94"/>
    <w:rsid w:val="00301CE4"/>
    <w:rsid w:val="0030216E"/>
    <w:rsid w:val="003024F9"/>
    <w:rsid w:val="003027E3"/>
    <w:rsid w:val="00302CC0"/>
    <w:rsid w:val="00303061"/>
    <w:rsid w:val="00303667"/>
    <w:rsid w:val="00303A2E"/>
    <w:rsid w:val="00303CC5"/>
    <w:rsid w:val="00303D93"/>
    <w:rsid w:val="00304120"/>
    <w:rsid w:val="0030453F"/>
    <w:rsid w:val="00304610"/>
    <w:rsid w:val="0030465D"/>
    <w:rsid w:val="00304B9A"/>
    <w:rsid w:val="00304F76"/>
    <w:rsid w:val="00305167"/>
    <w:rsid w:val="0030554A"/>
    <w:rsid w:val="003058C4"/>
    <w:rsid w:val="00305C7E"/>
    <w:rsid w:val="00305E5C"/>
    <w:rsid w:val="00305EB1"/>
    <w:rsid w:val="00306341"/>
    <w:rsid w:val="0030680D"/>
    <w:rsid w:val="00306998"/>
    <w:rsid w:val="00306AA3"/>
    <w:rsid w:val="00306B65"/>
    <w:rsid w:val="00307926"/>
    <w:rsid w:val="00307BCC"/>
    <w:rsid w:val="00307EE8"/>
    <w:rsid w:val="0031007E"/>
    <w:rsid w:val="0031023A"/>
    <w:rsid w:val="003103B4"/>
    <w:rsid w:val="00310652"/>
    <w:rsid w:val="00310703"/>
    <w:rsid w:val="003107AE"/>
    <w:rsid w:val="0031089E"/>
    <w:rsid w:val="00310921"/>
    <w:rsid w:val="00310DF5"/>
    <w:rsid w:val="00310E25"/>
    <w:rsid w:val="00310ED8"/>
    <w:rsid w:val="0031113F"/>
    <w:rsid w:val="003111E5"/>
    <w:rsid w:val="003112FA"/>
    <w:rsid w:val="00311E64"/>
    <w:rsid w:val="0031262E"/>
    <w:rsid w:val="003129CB"/>
    <w:rsid w:val="003137BD"/>
    <w:rsid w:val="00313A77"/>
    <w:rsid w:val="00313ABA"/>
    <w:rsid w:val="003140E8"/>
    <w:rsid w:val="003148A1"/>
    <w:rsid w:val="00314D9B"/>
    <w:rsid w:val="00314F3E"/>
    <w:rsid w:val="00315025"/>
    <w:rsid w:val="003152ED"/>
    <w:rsid w:val="00315683"/>
    <w:rsid w:val="00315CEF"/>
    <w:rsid w:val="00316564"/>
    <w:rsid w:val="003166E8"/>
    <w:rsid w:val="00316970"/>
    <w:rsid w:val="00316CB6"/>
    <w:rsid w:val="00317007"/>
    <w:rsid w:val="00317598"/>
    <w:rsid w:val="003175BD"/>
    <w:rsid w:val="003177CA"/>
    <w:rsid w:val="00317C96"/>
    <w:rsid w:val="00317D32"/>
    <w:rsid w:val="00317F84"/>
    <w:rsid w:val="0032011D"/>
    <w:rsid w:val="003201EA"/>
    <w:rsid w:val="00320384"/>
    <w:rsid w:val="00320414"/>
    <w:rsid w:val="003209D8"/>
    <w:rsid w:val="00320AC5"/>
    <w:rsid w:val="0032161A"/>
    <w:rsid w:val="00321849"/>
    <w:rsid w:val="00321981"/>
    <w:rsid w:val="00321A31"/>
    <w:rsid w:val="00321EB2"/>
    <w:rsid w:val="0032201C"/>
    <w:rsid w:val="00322047"/>
    <w:rsid w:val="00322463"/>
    <w:rsid w:val="003224AD"/>
    <w:rsid w:val="003226D6"/>
    <w:rsid w:val="003227FC"/>
    <w:rsid w:val="00322885"/>
    <w:rsid w:val="003228AA"/>
    <w:rsid w:val="00322B96"/>
    <w:rsid w:val="00322BAA"/>
    <w:rsid w:val="00322C93"/>
    <w:rsid w:val="00322DFA"/>
    <w:rsid w:val="00322F85"/>
    <w:rsid w:val="003240E7"/>
    <w:rsid w:val="003241A3"/>
    <w:rsid w:val="00324406"/>
    <w:rsid w:val="00324453"/>
    <w:rsid w:val="00324AA8"/>
    <w:rsid w:val="00324E03"/>
    <w:rsid w:val="00325281"/>
    <w:rsid w:val="003255ED"/>
    <w:rsid w:val="00325D1C"/>
    <w:rsid w:val="0032636B"/>
    <w:rsid w:val="00326818"/>
    <w:rsid w:val="00326AC0"/>
    <w:rsid w:val="00326E50"/>
    <w:rsid w:val="00327011"/>
    <w:rsid w:val="00327231"/>
    <w:rsid w:val="00327336"/>
    <w:rsid w:val="003279CC"/>
    <w:rsid w:val="00330263"/>
    <w:rsid w:val="003302B8"/>
    <w:rsid w:val="00330412"/>
    <w:rsid w:val="00330661"/>
    <w:rsid w:val="00330815"/>
    <w:rsid w:val="00330828"/>
    <w:rsid w:val="00330A0B"/>
    <w:rsid w:val="00330D5C"/>
    <w:rsid w:val="00330D78"/>
    <w:rsid w:val="00331409"/>
    <w:rsid w:val="00331491"/>
    <w:rsid w:val="003318BB"/>
    <w:rsid w:val="00331C17"/>
    <w:rsid w:val="00332192"/>
    <w:rsid w:val="00332521"/>
    <w:rsid w:val="0033254D"/>
    <w:rsid w:val="003327D3"/>
    <w:rsid w:val="00332BB9"/>
    <w:rsid w:val="00332C77"/>
    <w:rsid w:val="00332CD0"/>
    <w:rsid w:val="003330B7"/>
    <w:rsid w:val="003332A4"/>
    <w:rsid w:val="003334DB"/>
    <w:rsid w:val="003336CA"/>
    <w:rsid w:val="0033381D"/>
    <w:rsid w:val="00333868"/>
    <w:rsid w:val="00333E68"/>
    <w:rsid w:val="00333E76"/>
    <w:rsid w:val="00333EA0"/>
    <w:rsid w:val="00333ED5"/>
    <w:rsid w:val="00333EDD"/>
    <w:rsid w:val="00333F9E"/>
    <w:rsid w:val="00334472"/>
    <w:rsid w:val="00334517"/>
    <w:rsid w:val="003345BF"/>
    <w:rsid w:val="003345C4"/>
    <w:rsid w:val="003349A1"/>
    <w:rsid w:val="00334EDC"/>
    <w:rsid w:val="00334FFC"/>
    <w:rsid w:val="003351A9"/>
    <w:rsid w:val="00335285"/>
    <w:rsid w:val="0033548C"/>
    <w:rsid w:val="003354D3"/>
    <w:rsid w:val="00335648"/>
    <w:rsid w:val="00335943"/>
    <w:rsid w:val="00335D45"/>
    <w:rsid w:val="00335EAB"/>
    <w:rsid w:val="003360E3"/>
    <w:rsid w:val="0033678C"/>
    <w:rsid w:val="00336790"/>
    <w:rsid w:val="00336D19"/>
    <w:rsid w:val="00337140"/>
    <w:rsid w:val="00340159"/>
    <w:rsid w:val="003402A7"/>
    <w:rsid w:val="00340534"/>
    <w:rsid w:val="00340B0A"/>
    <w:rsid w:val="00340F16"/>
    <w:rsid w:val="00340F1D"/>
    <w:rsid w:val="00340F3F"/>
    <w:rsid w:val="003414D8"/>
    <w:rsid w:val="00341578"/>
    <w:rsid w:val="00341A12"/>
    <w:rsid w:val="00341B04"/>
    <w:rsid w:val="00341C67"/>
    <w:rsid w:val="00341C95"/>
    <w:rsid w:val="00341F37"/>
    <w:rsid w:val="0034220F"/>
    <w:rsid w:val="00342697"/>
    <w:rsid w:val="00342C55"/>
    <w:rsid w:val="00342EBD"/>
    <w:rsid w:val="00342F94"/>
    <w:rsid w:val="00342FDC"/>
    <w:rsid w:val="0034300F"/>
    <w:rsid w:val="0034346E"/>
    <w:rsid w:val="003436A9"/>
    <w:rsid w:val="00343CE4"/>
    <w:rsid w:val="00343D7A"/>
    <w:rsid w:val="003440DD"/>
    <w:rsid w:val="0034410B"/>
    <w:rsid w:val="00344280"/>
    <w:rsid w:val="00344733"/>
    <w:rsid w:val="00344F12"/>
    <w:rsid w:val="00345464"/>
    <w:rsid w:val="00345663"/>
    <w:rsid w:val="00345667"/>
    <w:rsid w:val="00345762"/>
    <w:rsid w:val="00345CE7"/>
    <w:rsid w:val="00345E3B"/>
    <w:rsid w:val="0034670F"/>
    <w:rsid w:val="00346A2D"/>
    <w:rsid w:val="00346B16"/>
    <w:rsid w:val="00346B88"/>
    <w:rsid w:val="00346CF5"/>
    <w:rsid w:val="00346D6B"/>
    <w:rsid w:val="00347226"/>
    <w:rsid w:val="00347228"/>
    <w:rsid w:val="003473D3"/>
    <w:rsid w:val="00347832"/>
    <w:rsid w:val="00347839"/>
    <w:rsid w:val="003478C0"/>
    <w:rsid w:val="00347B8C"/>
    <w:rsid w:val="00347D92"/>
    <w:rsid w:val="00350021"/>
    <w:rsid w:val="0035039F"/>
    <w:rsid w:val="00350582"/>
    <w:rsid w:val="00350717"/>
    <w:rsid w:val="0035093B"/>
    <w:rsid w:val="00350B15"/>
    <w:rsid w:val="00350C72"/>
    <w:rsid w:val="00350EF6"/>
    <w:rsid w:val="003514BC"/>
    <w:rsid w:val="0035152F"/>
    <w:rsid w:val="00351C80"/>
    <w:rsid w:val="00351C8B"/>
    <w:rsid w:val="00351E0C"/>
    <w:rsid w:val="003520AA"/>
    <w:rsid w:val="003523EA"/>
    <w:rsid w:val="003525B5"/>
    <w:rsid w:val="00352643"/>
    <w:rsid w:val="00352B3D"/>
    <w:rsid w:val="00352B7A"/>
    <w:rsid w:val="00352D50"/>
    <w:rsid w:val="00352E04"/>
    <w:rsid w:val="003531AD"/>
    <w:rsid w:val="00353885"/>
    <w:rsid w:val="003538E5"/>
    <w:rsid w:val="00353B03"/>
    <w:rsid w:val="00353B68"/>
    <w:rsid w:val="00353C03"/>
    <w:rsid w:val="00353C40"/>
    <w:rsid w:val="00353C47"/>
    <w:rsid w:val="00353CFA"/>
    <w:rsid w:val="00353F5E"/>
    <w:rsid w:val="00354278"/>
    <w:rsid w:val="0035451E"/>
    <w:rsid w:val="003548A2"/>
    <w:rsid w:val="00354C22"/>
    <w:rsid w:val="00354CD1"/>
    <w:rsid w:val="00355259"/>
    <w:rsid w:val="0035538B"/>
    <w:rsid w:val="0035543E"/>
    <w:rsid w:val="00355520"/>
    <w:rsid w:val="00355794"/>
    <w:rsid w:val="0035588A"/>
    <w:rsid w:val="00355909"/>
    <w:rsid w:val="003559C6"/>
    <w:rsid w:val="00355A1E"/>
    <w:rsid w:val="00355F51"/>
    <w:rsid w:val="0035622E"/>
    <w:rsid w:val="003563A7"/>
    <w:rsid w:val="003565EF"/>
    <w:rsid w:val="003567C2"/>
    <w:rsid w:val="00356820"/>
    <w:rsid w:val="00356BA8"/>
    <w:rsid w:val="00356F38"/>
    <w:rsid w:val="0035711E"/>
    <w:rsid w:val="003573E4"/>
    <w:rsid w:val="003576C1"/>
    <w:rsid w:val="0035787A"/>
    <w:rsid w:val="00357880"/>
    <w:rsid w:val="00357893"/>
    <w:rsid w:val="00357B6A"/>
    <w:rsid w:val="00357BA3"/>
    <w:rsid w:val="00357D14"/>
    <w:rsid w:val="00357E11"/>
    <w:rsid w:val="003600AC"/>
    <w:rsid w:val="003600E5"/>
    <w:rsid w:val="003602FC"/>
    <w:rsid w:val="00360543"/>
    <w:rsid w:val="00360666"/>
    <w:rsid w:val="003607C7"/>
    <w:rsid w:val="00360CDC"/>
    <w:rsid w:val="00360EE7"/>
    <w:rsid w:val="00361172"/>
    <w:rsid w:val="0036131D"/>
    <w:rsid w:val="003615E5"/>
    <w:rsid w:val="00361B98"/>
    <w:rsid w:val="00361C17"/>
    <w:rsid w:val="00361C51"/>
    <w:rsid w:val="00361F82"/>
    <w:rsid w:val="00361FFF"/>
    <w:rsid w:val="00362AF0"/>
    <w:rsid w:val="00362B87"/>
    <w:rsid w:val="00362D71"/>
    <w:rsid w:val="0036303A"/>
    <w:rsid w:val="00363337"/>
    <w:rsid w:val="00363345"/>
    <w:rsid w:val="0036345F"/>
    <w:rsid w:val="003634BC"/>
    <w:rsid w:val="0036382C"/>
    <w:rsid w:val="00363FB8"/>
    <w:rsid w:val="00363FD0"/>
    <w:rsid w:val="00364541"/>
    <w:rsid w:val="0036461C"/>
    <w:rsid w:val="00364B4C"/>
    <w:rsid w:val="00365544"/>
    <w:rsid w:val="00365B35"/>
    <w:rsid w:val="00365BB6"/>
    <w:rsid w:val="00365CE5"/>
    <w:rsid w:val="00365E0C"/>
    <w:rsid w:val="00366833"/>
    <w:rsid w:val="00366A09"/>
    <w:rsid w:val="00366E3A"/>
    <w:rsid w:val="00366E44"/>
    <w:rsid w:val="00366F28"/>
    <w:rsid w:val="0036753E"/>
    <w:rsid w:val="00367E80"/>
    <w:rsid w:val="00367E8B"/>
    <w:rsid w:val="00367F0C"/>
    <w:rsid w:val="00367FAD"/>
    <w:rsid w:val="00370276"/>
    <w:rsid w:val="003702B3"/>
    <w:rsid w:val="00370545"/>
    <w:rsid w:val="0037068C"/>
    <w:rsid w:val="003706DA"/>
    <w:rsid w:val="0037091E"/>
    <w:rsid w:val="003709D1"/>
    <w:rsid w:val="00370BF4"/>
    <w:rsid w:val="00370CBC"/>
    <w:rsid w:val="00370E63"/>
    <w:rsid w:val="0037134B"/>
    <w:rsid w:val="0037135D"/>
    <w:rsid w:val="003714BF"/>
    <w:rsid w:val="00371786"/>
    <w:rsid w:val="00371998"/>
    <w:rsid w:val="00371B60"/>
    <w:rsid w:val="003721AA"/>
    <w:rsid w:val="0037258C"/>
    <w:rsid w:val="00372B6A"/>
    <w:rsid w:val="00372C14"/>
    <w:rsid w:val="00373031"/>
    <w:rsid w:val="00373855"/>
    <w:rsid w:val="00373879"/>
    <w:rsid w:val="00373AB4"/>
    <w:rsid w:val="00373BD4"/>
    <w:rsid w:val="00373CBB"/>
    <w:rsid w:val="00373CE2"/>
    <w:rsid w:val="003749D7"/>
    <w:rsid w:val="00374B52"/>
    <w:rsid w:val="003751A7"/>
    <w:rsid w:val="00375260"/>
    <w:rsid w:val="003752FC"/>
    <w:rsid w:val="003757AC"/>
    <w:rsid w:val="0037585E"/>
    <w:rsid w:val="00375C12"/>
    <w:rsid w:val="00375D32"/>
    <w:rsid w:val="00375EC4"/>
    <w:rsid w:val="0037655F"/>
    <w:rsid w:val="00376985"/>
    <w:rsid w:val="00376BAB"/>
    <w:rsid w:val="00376E43"/>
    <w:rsid w:val="0037707A"/>
    <w:rsid w:val="003771DB"/>
    <w:rsid w:val="0037772A"/>
    <w:rsid w:val="00377734"/>
    <w:rsid w:val="003779A3"/>
    <w:rsid w:val="0038068D"/>
    <w:rsid w:val="003806A5"/>
    <w:rsid w:val="003809AB"/>
    <w:rsid w:val="00380F6A"/>
    <w:rsid w:val="0038127E"/>
    <w:rsid w:val="00381463"/>
    <w:rsid w:val="0038161A"/>
    <w:rsid w:val="00381729"/>
    <w:rsid w:val="003817F1"/>
    <w:rsid w:val="00381ED8"/>
    <w:rsid w:val="00382579"/>
    <w:rsid w:val="0038266F"/>
    <w:rsid w:val="00382993"/>
    <w:rsid w:val="00382E5A"/>
    <w:rsid w:val="00382F7E"/>
    <w:rsid w:val="00382F90"/>
    <w:rsid w:val="00383651"/>
    <w:rsid w:val="003837D0"/>
    <w:rsid w:val="00383F40"/>
    <w:rsid w:val="003842B5"/>
    <w:rsid w:val="00384555"/>
    <w:rsid w:val="00384F71"/>
    <w:rsid w:val="00384FE0"/>
    <w:rsid w:val="00385060"/>
    <w:rsid w:val="003851BC"/>
    <w:rsid w:val="00385361"/>
    <w:rsid w:val="00385472"/>
    <w:rsid w:val="0038591F"/>
    <w:rsid w:val="00386706"/>
    <w:rsid w:val="003868BA"/>
    <w:rsid w:val="00386A5D"/>
    <w:rsid w:val="00386D0F"/>
    <w:rsid w:val="00386DD3"/>
    <w:rsid w:val="00387062"/>
    <w:rsid w:val="003872D7"/>
    <w:rsid w:val="003877E1"/>
    <w:rsid w:val="0038792F"/>
    <w:rsid w:val="00387972"/>
    <w:rsid w:val="00387997"/>
    <w:rsid w:val="00387DC4"/>
    <w:rsid w:val="00387E07"/>
    <w:rsid w:val="00387F7C"/>
    <w:rsid w:val="003903C5"/>
    <w:rsid w:val="00390BD9"/>
    <w:rsid w:val="00390C4A"/>
    <w:rsid w:val="00391458"/>
    <w:rsid w:val="00391894"/>
    <w:rsid w:val="003919BA"/>
    <w:rsid w:val="003919F7"/>
    <w:rsid w:val="00391A6D"/>
    <w:rsid w:val="00391D61"/>
    <w:rsid w:val="00392290"/>
    <w:rsid w:val="00392637"/>
    <w:rsid w:val="003929E7"/>
    <w:rsid w:val="00392A03"/>
    <w:rsid w:val="00392C86"/>
    <w:rsid w:val="003932B9"/>
    <w:rsid w:val="00393D23"/>
    <w:rsid w:val="003940B2"/>
    <w:rsid w:val="0039426B"/>
    <w:rsid w:val="0039449D"/>
    <w:rsid w:val="003944A3"/>
    <w:rsid w:val="00394CD6"/>
    <w:rsid w:val="0039525C"/>
    <w:rsid w:val="003954BF"/>
    <w:rsid w:val="00395A96"/>
    <w:rsid w:val="00395E8F"/>
    <w:rsid w:val="003968D4"/>
    <w:rsid w:val="00396965"/>
    <w:rsid w:val="003970AE"/>
    <w:rsid w:val="003970B3"/>
    <w:rsid w:val="003976BC"/>
    <w:rsid w:val="00397968"/>
    <w:rsid w:val="003A0286"/>
    <w:rsid w:val="003A0899"/>
    <w:rsid w:val="003A0ED4"/>
    <w:rsid w:val="003A0F39"/>
    <w:rsid w:val="003A13D5"/>
    <w:rsid w:val="003A1503"/>
    <w:rsid w:val="003A15E7"/>
    <w:rsid w:val="003A1760"/>
    <w:rsid w:val="003A180D"/>
    <w:rsid w:val="003A1BAE"/>
    <w:rsid w:val="003A1FCC"/>
    <w:rsid w:val="003A201B"/>
    <w:rsid w:val="003A217E"/>
    <w:rsid w:val="003A2199"/>
    <w:rsid w:val="003A221B"/>
    <w:rsid w:val="003A28FA"/>
    <w:rsid w:val="003A2B29"/>
    <w:rsid w:val="003A2CF1"/>
    <w:rsid w:val="003A3069"/>
    <w:rsid w:val="003A32D0"/>
    <w:rsid w:val="003A3384"/>
    <w:rsid w:val="003A33FA"/>
    <w:rsid w:val="003A360E"/>
    <w:rsid w:val="003A38E2"/>
    <w:rsid w:val="003A39F1"/>
    <w:rsid w:val="003A3C29"/>
    <w:rsid w:val="003A44F2"/>
    <w:rsid w:val="003A45DC"/>
    <w:rsid w:val="003A46F4"/>
    <w:rsid w:val="003A474A"/>
    <w:rsid w:val="003A4786"/>
    <w:rsid w:val="003A4905"/>
    <w:rsid w:val="003A4939"/>
    <w:rsid w:val="003A4B4C"/>
    <w:rsid w:val="003A4CC2"/>
    <w:rsid w:val="003A53E3"/>
    <w:rsid w:val="003A59DB"/>
    <w:rsid w:val="003A5AA2"/>
    <w:rsid w:val="003A5DC9"/>
    <w:rsid w:val="003A5E29"/>
    <w:rsid w:val="003A5EDE"/>
    <w:rsid w:val="003A60D8"/>
    <w:rsid w:val="003A6137"/>
    <w:rsid w:val="003A6857"/>
    <w:rsid w:val="003A6D06"/>
    <w:rsid w:val="003A6D71"/>
    <w:rsid w:val="003A71C0"/>
    <w:rsid w:val="003A73EB"/>
    <w:rsid w:val="003A78DE"/>
    <w:rsid w:val="003A7998"/>
    <w:rsid w:val="003A79C8"/>
    <w:rsid w:val="003A7A3B"/>
    <w:rsid w:val="003A7B12"/>
    <w:rsid w:val="003A7B59"/>
    <w:rsid w:val="003A7C33"/>
    <w:rsid w:val="003B0186"/>
    <w:rsid w:val="003B0356"/>
    <w:rsid w:val="003B04E1"/>
    <w:rsid w:val="003B0F2C"/>
    <w:rsid w:val="003B0F41"/>
    <w:rsid w:val="003B0F59"/>
    <w:rsid w:val="003B100B"/>
    <w:rsid w:val="003B1032"/>
    <w:rsid w:val="003B1EC3"/>
    <w:rsid w:val="003B2320"/>
    <w:rsid w:val="003B30D6"/>
    <w:rsid w:val="003B3190"/>
    <w:rsid w:val="003B3701"/>
    <w:rsid w:val="003B3B4C"/>
    <w:rsid w:val="003B3F7F"/>
    <w:rsid w:val="003B4541"/>
    <w:rsid w:val="003B471C"/>
    <w:rsid w:val="003B4813"/>
    <w:rsid w:val="003B4885"/>
    <w:rsid w:val="003B4897"/>
    <w:rsid w:val="003B5573"/>
    <w:rsid w:val="003B5604"/>
    <w:rsid w:val="003B5C77"/>
    <w:rsid w:val="003B632D"/>
    <w:rsid w:val="003B68F3"/>
    <w:rsid w:val="003B6FEF"/>
    <w:rsid w:val="003B72AD"/>
    <w:rsid w:val="003B79E6"/>
    <w:rsid w:val="003B7AB7"/>
    <w:rsid w:val="003B7D37"/>
    <w:rsid w:val="003C019C"/>
    <w:rsid w:val="003C037F"/>
    <w:rsid w:val="003C074B"/>
    <w:rsid w:val="003C0AD7"/>
    <w:rsid w:val="003C0E74"/>
    <w:rsid w:val="003C1113"/>
    <w:rsid w:val="003C122C"/>
    <w:rsid w:val="003C12A7"/>
    <w:rsid w:val="003C13B3"/>
    <w:rsid w:val="003C13CD"/>
    <w:rsid w:val="003C1613"/>
    <w:rsid w:val="003C1621"/>
    <w:rsid w:val="003C16D6"/>
    <w:rsid w:val="003C180A"/>
    <w:rsid w:val="003C1B8A"/>
    <w:rsid w:val="003C2025"/>
    <w:rsid w:val="003C2367"/>
    <w:rsid w:val="003C25C9"/>
    <w:rsid w:val="003C2899"/>
    <w:rsid w:val="003C2DB9"/>
    <w:rsid w:val="003C2F90"/>
    <w:rsid w:val="003C3911"/>
    <w:rsid w:val="003C4394"/>
    <w:rsid w:val="003C4703"/>
    <w:rsid w:val="003C4716"/>
    <w:rsid w:val="003C4826"/>
    <w:rsid w:val="003C4904"/>
    <w:rsid w:val="003C49C7"/>
    <w:rsid w:val="003C4B9E"/>
    <w:rsid w:val="003C541E"/>
    <w:rsid w:val="003C55B9"/>
    <w:rsid w:val="003C56D6"/>
    <w:rsid w:val="003C5E8D"/>
    <w:rsid w:val="003C6009"/>
    <w:rsid w:val="003C611F"/>
    <w:rsid w:val="003C635F"/>
    <w:rsid w:val="003C6445"/>
    <w:rsid w:val="003C6497"/>
    <w:rsid w:val="003C65F1"/>
    <w:rsid w:val="003C700D"/>
    <w:rsid w:val="003C7103"/>
    <w:rsid w:val="003C71C2"/>
    <w:rsid w:val="003C7C0C"/>
    <w:rsid w:val="003C7DF7"/>
    <w:rsid w:val="003D0401"/>
    <w:rsid w:val="003D0A3B"/>
    <w:rsid w:val="003D0A3C"/>
    <w:rsid w:val="003D1177"/>
    <w:rsid w:val="003D1530"/>
    <w:rsid w:val="003D1652"/>
    <w:rsid w:val="003D166E"/>
    <w:rsid w:val="003D1C92"/>
    <w:rsid w:val="003D2106"/>
    <w:rsid w:val="003D24AE"/>
    <w:rsid w:val="003D29AF"/>
    <w:rsid w:val="003D2C90"/>
    <w:rsid w:val="003D2D27"/>
    <w:rsid w:val="003D3054"/>
    <w:rsid w:val="003D3061"/>
    <w:rsid w:val="003D3092"/>
    <w:rsid w:val="003D344C"/>
    <w:rsid w:val="003D374C"/>
    <w:rsid w:val="003D3F1F"/>
    <w:rsid w:val="003D4163"/>
    <w:rsid w:val="003D4269"/>
    <w:rsid w:val="003D44D5"/>
    <w:rsid w:val="003D4533"/>
    <w:rsid w:val="003D46C3"/>
    <w:rsid w:val="003D4DEF"/>
    <w:rsid w:val="003D4F05"/>
    <w:rsid w:val="003D5195"/>
    <w:rsid w:val="003D5349"/>
    <w:rsid w:val="003D5B52"/>
    <w:rsid w:val="003D5C48"/>
    <w:rsid w:val="003D5C56"/>
    <w:rsid w:val="003D5CB5"/>
    <w:rsid w:val="003D5F4A"/>
    <w:rsid w:val="003D5FD7"/>
    <w:rsid w:val="003D6218"/>
    <w:rsid w:val="003D6335"/>
    <w:rsid w:val="003D65B2"/>
    <w:rsid w:val="003D6B85"/>
    <w:rsid w:val="003D6D07"/>
    <w:rsid w:val="003D6D5D"/>
    <w:rsid w:val="003D6D8E"/>
    <w:rsid w:val="003D6DD1"/>
    <w:rsid w:val="003D72CC"/>
    <w:rsid w:val="003D7600"/>
    <w:rsid w:val="003D7766"/>
    <w:rsid w:val="003D7C9D"/>
    <w:rsid w:val="003E05C3"/>
    <w:rsid w:val="003E0EA9"/>
    <w:rsid w:val="003E0FD0"/>
    <w:rsid w:val="003E113C"/>
    <w:rsid w:val="003E117E"/>
    <w:rsid w:val="003E135C"/>
    <w:rsid w:val="003E2136"/>
    <w:rsid w:val="003E214A"/>
    <w:rsid w:val="003E255E"/>
    <w:rsid w:val="003E29FF"/>
    <w:rsid w:val="003E330D"/>
    <w:rsid w:val="003E3311"/>
    <w:rsid w:val="003E339F"/>
    <w:rsid w:val="003E37B9"/>
    <w:rsid w:val="003E3C4A"/>
    <w:rsid w:val="003E3C4F"/>
    <w:rsid w:val="003E3FA9"/>
    <w:rsid w:val="003E404E"/>
    <w:rsid w:val="003E452E"/>
    <w:rsid w:val="003E467E"/>
    <w:rsid w:val="003E4872"/>
    <w:rsid w:val="003E4A9F"/>
    <w:rsid w:val="003E4CA1"/>
    <w:rsid w:val="003E533E"/>
    <w:rsid w:val="003E539F"/>
    <w:rsid w:val="003E5641"/>
    <w:rsid w:val="003E5981"/>
    <w:rsid w:val="003E59DD"/>
    <w:rsid w:val="003E5A84"/>
    <w:rsid w:val="003E5D20"/>
    <w:rsid w:val="003E5F13"/>
    <w:rsid w:val="003E632E"/>
    <w:rsid w:val="003E6C38"/>
    <w:rsid w:val="003E6E48"/>
    <w:rsid w:val="003E6F9B"/>
    <w:rsid w:val="003E7058"/>
    <w:rsid w:val="003E70C9"/>
    <w:rsid w:val="003E713B"/>
    <w:rsid w:val="003E71EA"/>
    <w:rsid w:val="003E734E"/>
    <w:rsid w:val="003E770A"/>
    <w:rsid w:val="003E780A"/>
    <w:rsid w:val="003E7C1D"/>
    <w:rsid w:val="003E7D01"/>
    <w:rsid w:val="003E7DB6"/>
    <w:rsid w:val="003F0417"/>
    <w:rsid w:val="003F0A3D"/>
    <w:rsid w:val="003F0BF5"/>
    <w:rsid w:val="003F19A2"/>
    <w:rsid w:val="003F1BED"/>
    <w:rsid w:val="003F200A"/>
    <w:rsid w:val="003F28A5"/>
    <w:rsid w:val="003F2A99"/>
    <w:rsid w:val="003F3114"/>
    <w:rsid w:val="003F348B"/>
    <w:rsid w:val="003F356C"/>
    <w:rsid w:val="003F3B3B"/>
    <w:rsid w:val="003F3D03"/>
    <w:rsid w:val="003F406A"/>
    <w:rsid w:val="003F44CC"/>
    <w:rsid w:val="003F4827"/>
    <w:rsid w:val="003F4B98"/>
    <w:rsid w:val="003F4E5A"/>
    <w:rsid w:val="003F4FA3"/>
    <w:rsid w:val="003F529F"/>
    <w:rsid w:val="003F5383"/>
    <w:rsid w:val="003F5690"/>
    <w:rsid w:val="003F56F6"/>
    <w:rsid w:val="003F5762"/>
    <w:rsid w:val="003F5A5F"/>
    <w:rsid w:val="003F5AB3"/>
    <w:rsid w:val="003F5CD8"/>
    <w:rsid w:val="003F5D69"/>
    <w:rsid w:val="003F5DEC"/>
    <w:rsid w:val="003F651D"/>
    <w:rsid w:val="003F659E"/>
    <w:rsid w:val="003F66E5"/>
    <w:rsid w:val="003F6857"/>
    <w:rsid w:val="003F6A93"/>
    <w:rsid w:val="003F6CF3"/>
    <w:rsid w:val="003F7128"/>
    <w:rsid w:val="003F74C3"/>
    <w:rsid w:val="003F75BA"/>
    <w:rsid w:val="003F7C01"/>
    <w:rsid w:val="003F7C87"/>
    <w:rsid w:val="003F7ECF"/>
    <w:rsid w:val="00400189"/>
    <w:rsid w:val="004003A0"/>
    <w:rsid w:val="004004FC"/>
    <w:rsid w:val="004005F5"/>
    <w:rsid w:val="00400629"/>
    <w:rsid w:val="00400BA5"/>
    <w:rsid w:val="00400DA0"/>
    <w:rsid w:val="004010CD"/>
    <w:rsid w:val="0040116C"/>
    <w:rsid w:val="00401B55"/>
    <w:rsid w:val="00401ED7"/>
    <w:rsid w:val="00402370"/>
    <w:rsid w:val="0040244F"/>
    <w:rsid w:val="004026EE"/>
    <w:rsid w:val="00402D22"/>
    <w:rsid w:val="00402D3F"/>
    <w:rsid w:val="00403093"/>
    <w:rsid w:val="004031C6"/>
    <w:rsid w:val="00403779"/>
    <w:rsid w:val="00403EFE"/>
    <w:rsid w:val="00404395"/>
    <w:rsid w:val="00404442"/>
    <w:rsid w:val="00404471"/>
    <w:rsid w:val="00404485"/>
    <w:rsid w:val="0040456D"/>
    <w:rsid w:val="004047BA"/>
    <w:rsid w:val="00404A1E"/>
    <w:rsid w:val="00404C47"/>
    <w:rsid w:val="00405268"/>
    <w:rsid w:val="0040535B"/>
    <w:rsid w:val="00405360"/>
    <w:rsid w:val="004057B1"/>
    <w:rsid w:val="00405A86"/>
    <w:rsid w:val="00405AE9"/>
    <w:rsid w:val="004061F4"/>
    <w:rsid w:val="00406D01"/>
    <w:rsid w:val="004071BD"/>
    <w:rsid w:val="0040750C"/>
    <w:rsid w:val="00407A7B"/>
    <w:rsid w:val="00407AEE"/>
    <w:rsid w:val="00407B36"/>
    <w:rsid w:val="0041034C"/>
    <w:rsid w:val="004103FB"/>
    <w:rsid w:val="0041059E"/>
    <w:rsid w:val="004108C9"/>
    <w:rsid w:val="0041118F"/>
    <w:rsid w:val="00411751"/>
    <w:rsid w:val="00411A2E"/>
    <w:rsid w:val="00411F1D"/>
    <w:rsid w:val="00411F41"/>
    <w:rsid w:val="004121A9"/>
    <w:rsid w:val="004122EA"/>
    <w:rsid w:val="00412457"/>
    <w:rsid w:val="004125FA"/>
    <w:rsid w:val="00412BDE"/>
    <w:rsid w:val="00412E27"/>
    <w:rsid w:val="00412E40"/>
    <w:rsid w:val="00412F3C"/>
    <w:rsid w:val="004130CC"/>
    <w:rsid w:val="00413454"/>
    <w:rsid w:val="00413807"/>
    <w:rsid w:val="00413E26"/>
    <w:rsid w:val="00413FF3"/>
    <w:rsid w:val="00414653"/>
    <w:rsid w:val="004149AC"/>
    <w:rsid w:val="00414BE7"/>
    <w:rsid w:val="00414F0C"/>
    <w:rsid w:val="00414FFE"/>
    <w:rsid w:val="00415082"/>
    <w:rsid w:val="00415333"/>
    <w:rsid w:val="00415C4D"/>
    <w:rsid w:val="00416454"/>
    <w:rsid w:val="004173E2"/>
    <w:rsid w:val="00417475"/>
    <w:rsid w:val="004176CF"/>
    <w:rsid w:val="004177E4"/>
    <w:rsid w:val="0041782A"/>
    <w:rsid w:val="00417945"/>
    <w:rsid w:val="00417EFB"/>
    <w:rsid w:val="0042070D"/>
    <w:rsid w:val="00420A0E"/>
    <w:rsid w:val="00420E14"/>
    <w:rsid w:val="00420F27"/>
    <w:rsid w:val="004218DD"/>
    <w:rsid w:val="00421CCA"/>
    <w:rsid w:val="00422185"/>
    <w:rsid w:val="004226A6"/>
    <w:rsid w:val="004226C3"/>
    <w:rsid w:val="00422862"/>
    <w:rsid w:val="00422B23"/>
    <w:rsid w:val="00422C4B"/>
    <w:rsid w:val="00422DF5"/>
    <w:rsid w:val="00422F48"/>
    <w:rsid w:val="00422FC2"/>
    <w:rsid w:val="004230C9"/>
    <w:rsid w:val="004231E5"/>
    <w:rsid w:val="0042334A"/>
    <w:rsid w:val="00423B05"/>
    <w:rsid w:val="00423C12"/>
    <w:rsid w:val="004247A6"/>
    <w:rsid w:val="00424BC3"/>
    <w:rsid w:val="00424BF3"/>
    <w:rsid w:val="00424EC9"/>
    <w:rsid w:val="00424F20"/>
    <w:rsid w:val="0042528C"/>
    <w:rsid w:val="0042533A"/>
    <w:rsid w:val="00425374"/>
    <w:rsid w:val="00425538"/>
    <w:rsid w:val="00425636"/>
    <w:rsid w:val="00425A34"/>
    <w:rsid w:val="00425F19"/>
    <w:rsid w:val="00425F99"/>
    <w:rsid w:val="0042610E"/>
    <w:rsid w:val="00426529"/>
    <w:rsid w:val="004268F4"/>
    <w:rsid w:val="00426A2C"/>
    <w:rsid w:val="00426AA9"/>
    <w:rsid w:val="00426B4A"/>
    <w:rsid w:val="00426FB8"/>
    <w:rsid w:val="004270BD"/>
    <w:rsid w:val="00427137"/>
    <w:rsid w:val="0042731F"/>
    <w:rsid w:val="00427B9D"/>
    <w:rsid w:val="00427BBC"/>
    <w:rsid w:val="00427C83"/>
    <w:rsid w:val="00427FE8"/>
    <w:rsid w:val="0043077B"/>
    <w:rsid w:val="004308F7"/>
    <w:rsid w:val="00430908"/>
    <w:rsid w:val="004309A9"/>
    <w:rsid w:val="004316CA"/>
    <w:rsid w:val="004318B2"/>
    <w:rsid w:val="00431BED"/>
    <w:rsid w:val="00432267"/>
    <w:rsid w:val="00432449"/>
    <w:rsid w:val="00432AA4"/>
    <w:rsid w:val="00432AFE"/>
    <w:rsid w:val="00432BDB"/>
    <w:rsid w:val="00432E20"/>
    <w:rsid w:val="00433205"/>
    <w:rsid w:val="0043369C"/>
    <w:rsid w:val="00433D58"/>
    <w:rsid w:val="00433FEE"/>
    <w:rsid w:val="00434320"/>
    <w:rsid w:val="0043473D"/>
    <w:rsid w:val="00434862"/>
    <w:rsid w:val="00434873"/>
    <w:rsid w:val="004353F5"/>
    <w:rsid w:val="0043573D"/>
    <w:rsid w:val="004357D9"/>
    <w:rsid w:val="00435878"/>
    <w:rsid w:val="00435A9B"/>
    <w:rsid w:val="00436272"/>
    <w:rsid w:val="00436B74"/>
    <w:rsid w:val="00436F8A"/>
    <w:rsid w:val="00437020"/>
    <w:rsid w:val="00437215"/>
    <w:rsid w:val="00437AFB"/>
    <w:rsid w:val="004400DD"/>
    <w:rsid w:val="0044043C"/>
    <w:rsid w:val="00440503"/>
    <w:rsid w:val="00440950"/>
    <w:rsid w:val="004418F1"/>
    <w:rsid w:val="00441A76"/>
    <w:rsid w:val="00441AEF"/>
    <w:rsid w:val="00441C85"/>
    <w:rsid w:val="00441D0C"/>
    <w:rsid w:val="00441EAD"/>
    <w:rsid w:val="00441F42"/>
    <w:rsid w:val="0044280C"/>
    <w:rsid w:val="00442859"/>
    <w:rsid w:val="0044297D"/>
    <w:rsid w:val="00442AF3"/>
    <w:rsid w:val="00442BAF"/>
    <w:rsid w:val="00442DCD"/>
    <w:rsid w:val="00442E1B"/>
    <w:rsid w:val="00442EFE"/>
    <w:rsid w:val="00442FC9"/>
    <w:rsid w:val="0044314D"/>
    <w:rsid w:val="004435A9"/>
    <w:rsid w:val="00443D34"/>
    <w:rsid w:val="00443E22"/>
    <w:rsid w:val="004442AB"/>
    <w:rsid w:val="004442C3"/>
    <w:rsid w:val="00444703"/>
    <w:rsid w:val="00444EE1"/>
    <w:rsid w:val="004450F4"/>
    <w:rsid w:val="004454D2"/>
    <w:rsid w:val="004454D3"/>
    <w:rsid w:val="004455A3"/>
    <w:rsid w:val="004455BD"/>
    <w:rsid w:val="0044564B"/>
    <w:rsid w:val="00445B8D"/>
    <w:rsid w:val="0044608C"/>
    <w:rsid w:val="0044620F"/>
    <w:rsid w:val="004464F8"/>
    <w:rsid w:val="004467DA"/>
    <w:rsid w:val="004468F5"/>
    <w:rsid w:val="00446AFC"/>
    <w:rsid w:val="004470EC"/>
    <w:rsid w:val="00447185"/>
    <w:rsid w:val="004477C1"/>
    <w:rsid w:val="0044783D"/>
    <w:rsid w:val="004478FA"/>
    <w:rsid w:val="00447F83"/>
    <w:rsid w:val="0045001E"/>
    <w:rsid w:val="0045057C"/>
    <w:rsid w:val="0045072B"/>
    <w:rsid w:val="00450760"/>
    <w:rsid w:val="004508AA"/>
    <w:rsid w:val="00450BCE"/>
    <w:rsid w:val="004517BC"/>
    <w:rsid w:val="00451961"/>
    <w:rsid w:val="00451CC3"/>
    <w:rsid w:val="00451D5A"/>
    <w:rsid w:val="00451D95"/>
    <w:rsid w:val="00451F46"/>
    <w:rsid w:val="00452370"/>
    <w:rsid w:val="00452682"/>
    <w:rsid w:val="00452928"/>
    <w:rsid w:val="004529C2"/>
    <w:rsid w:val="00453151"/>
    <w:rsid w:val="004536BC"/>
    <w:rsid w:val="004538FD"/>
    <w:rsid w:val="00453D15"/>
    <w:rsid w:val="00454134"/>
    <w:rsid w:val="0045440C"/>
    <w:rsid w:val="004545EF"/>
    <w:rsid w:val="004546F3"/>
    <w:rsid w:val="004549EF"/>
    <w:rsid w:val="00454A64"/>
    <w:rsid w:val="00454B2B"/>
    <w:rsid w:val="00454EBF"/>
    <w:rsid w:val="0045551B"/>
    <w:rsid w:val="0045558C"/>
    <w:rsid w:val="004556A9"/>
    <w:rsid w:val="00455A10"/>
    <w:rsid w:val="00456014"/>
    <w:rsid w:val="00456044"/>
    <w:rsid w:val="004563DB"/>
    <w:rsid w:val="0045640E"/>
    <w:rsid w:val="004569CC"/>
    <w:rsid w:val="00457386"/>
    <w:rsid w:val="00457543"/>
    <w:rsid w:val="004576A0"/>
    <w:rsid w:val="004579D3"/>
    <w:rsid w:val="00457BDE"/>
    <w:rsid w:val="00457C6C"/>
    <w:rsid w:val="004601CB"/>
    <w:rsid w:val="004605AD"/>
    <w:rsid w:val="0046061A"/>
    <w:rsid w:val="004606F1"/>
    <w:rsid w:val="0046086F"/>
    <w:rsid w:val="00460B33"/>
    <w:rsid w:val="00460C07"/>
    <w:rsid w:val="00460C8A"/>
    <w:rsid w:val="004612AE"/>
    <w:rsid w:val="00461915"/>
    <w:rsid w:val="00461A14"/>
    <w:rsid w:val="00461ACC"/>
    <w:rsid w:val="00462BC5"/>
    <w:rsid w:val="00462F83"/>
    <w:rsid w:val="00463052"/>
    <w:rsid w:val="004633BD"/>
    <w:rsid w:val="00463994"/>
    <w:rsid w:val="00463DC6"/>
    <w:rsid w:val="004641BF"/>
    <w:rsid w:val="00464751"/>
    <w:rsid w:val="00464CAC"/>
    <w:rsid w:val="004650B8"/>
    <w:rsid w:val="0046517A"/>
    <w:rsid w:val="00465B7A"/>
    <w:rsid w:val="00465C38"/>
    <w:rsid w:val="00465CDA"/>
    <w:rsid w:val="00465E75"/>
    <w:rsid w:val="00465F1D"/>
    <w:rsid w:val="00466252"/>
    <w:rsid w:val="00466563"/>
    <w:rsid w:val="004665A8"/>
    <w:rsid w:val="00466922"/>
    <w:rsid w:val="00466D73"/>
    <w:rsid w:val="00466EE3"/>
    <w:rsid w:val="0046701C"/>
    <w:rsid w:val="00467127"/>
    <w:rsid w:val="004672D8"/>
    <w:rsid w:val="00467343"/>
    <w:rsid w:val="004674BA"/>
    <w:rsid w:val="004675F5"/>
    <w:rsid w:val="00467812"/>
    <w:rsid w:val="00467824"/>
    <w:rsid w:val="004678BC"/>
    <w:rsid w:val="00467970"/>
    <w:rsid w:val="00467C1F"/>
    <w:rsid w:val="00467C93"/>
    <w:rsid w:val="00467FC6"/>
    <w:rsid w:val="00470347"/>
    <w:rsid w:val="00470944"/>
    <w:rsid w:val="0047094D"/>
    <w:rsid w:val="00470BDE"/>
    <w:rsid w:val="00471435"/>
    <w:rsid w:val="00471730"/>
    <w:rsid w:val="00471B87"/>
    <w:rsid w:val="00472253"/>
    <w:rsid w:val="00473658"/>
    <w:rsid w:val="00473835"/>
    <w:rsid w:val="004739AF"/>
    <w:rsid w:val="00473BCE"/>
    <w:rsid w:val="00473BEC"/>
    <w:rsid w:val="00473CA0"/>
    <w:rsid w:val="004746ED"/>
    <w:rsid w:val="004748A8"/>
    <w:rsid w:val="0047496B"/>
    <w:rsid w:val="00474AC6"/>
    <w:rsid w:val="00474C58"/>
    <w:rsid w:val="00474E13"/>
    <w:rsid w:val="004754C0"/>
    <w:rsid w:val="004759D5"/>
    <w:rsid w:val="00475EDB"/>
    <w:rsid w:val="00475F9F"/>
    <w:rsid w:val="00476205"/>
    <w:rsid w:val="00476313"/>
    <w:rsid w:val="00476841"/>
    <w:rsid w:val="00476C66"/>
    <w:rsid w:val="00476E60"/>
    <w:rsid w:val="00477080"/>
    <w:rsid w:val="004772B8"/>
    <w:rsid w:val="004775A3"/>
    <w:rsid w:val="00477A7D"/>
    <w:rsid w:val="00477B7B"/>
    <w:rsid w:val="00477C3A"/>
    <w:rsid w:val="00477FD9"/>
    <w:rsid w:val="0048021C"/>
    <w:rsid w:val="00480294"/>
    <w:rsid w:val="00480470"/>
    <w:rsid w:val="004805AB"/>
    <w:rsid w:val="004806FF"/>
    <w:rsid w:val="004808C9"/>
    <w:rsid w:val="00480C6B"/>
    <w:rsid w:val="004811DE"/>
    <w:rsid w:val="00481258"/>
    <w:rsid w:val="0048146C"/>
    <w:rsid w:val="00481789"/>
    <w:rsid w:val="00481911"/>
    <w:rsid w:val="00481AE4"/>
    <w:rsid w:val="00481D3E"/>
    <w:rsid w:val="00481D49"/>
    <w:rsid w:val="004820E7"/>
    <w:rsid w:val="004825F1"/>
    <w:rsid w:val="00482734"/>
    <w:rsid w:val="0048328D"/>
    <w:rsid w:val="004833AA"/>
    <w:rsid w:val="004833B9"/>
    <w:rsid w:val="00483DF0"/>
    <w:rsid w:val="004840AE"/>
    <w:rsid w:val="0048492C"/>
    <w:rsid w:val="00484BF5"/>
    <w:rsid w:val="00484E4D"/>
    <w:rsid w:val="00484F1D"/>
    <w:rsid w:val="0048509E"/>
    <w:rsid w:val="004856C2"/>
    <w:rsid w:val="004858EC"/>
    <w:rsid w:val="00485B36"/>
    <w:rsid w:val="00485B7C"/>
    <w:rsid w:val="00485D73"/>
    <w:rsid w:val="0048656D"/>
    <w:rsid w:val="0048663A"/>
    <w:rsid w:val="0048694D"/>
    <w:rsid w:val="00486B7D"/>
    <w:rsid w:val="00486BB4"/>
    <w:rsid w:val="00486DEA"/>
    <w:rsid w:val="0048753A"/>
    <w:rsid w:val="004875CA"/>
    <w:rsid w:val="00487644"/>
    <w:rsid w:val="00487AF8"/>
    <w:rsid w:val="00487B47"/>
    <w:rsid w:val="00487CF4"/>
    <w:rsid w:val="0049030A"/>
    <w:rsid w:val="004903D9"/>
    <w:rsid w:val="00490506"/>
    <w:rsid w:val="00490723"/>
    <w:rsid w:val="004907E7"/>
    <w:rsid w:val="004909E3"/>
    <w:rsid w:val="00490B72"/>
    <w:rsid w:val="00490E10"/>
    <w:rsid w:val="00491562"/>
    <w:rsid w:val="00491A2F"/>
    <w:rsid w:val="00491C7B"/>
    <w:rsid w:val="00491E56"/>
    <w:rsid w:val="00491E9E"/>
    <w:rsid w:val="00492163"/>
    <w:rsid w:val="00492231"/>
    <w:rsid w:val="004927A7"/>
    <w:rsid w:val="004928FB"/>
    <w:rsid w:val="00492F20"/>
    <w:rsid w:val="004933B9"/>
    <w:rsid w:val="004934F2"/>
    <w:rsid w:val="004935E4"/>
    <w:rsid w:val="00493672"/>
    <w:rsid w:val="00493698"/>
    <w:rsid w:val="00493A91"/>
    <w:rsid w:val="00493ACC"/>
    <w:rsid w:val="00493F49"/>
    <w:rsid w:val="0049409C"/>
    <w:rsid w:val="0049421F"/>
    <w:rsid w:val="00494623"/>
    <w:rsid w:val="00494864"/>
    <w:rsid w:val="004948EE"/>
    <w:rsid w:val="00494A43"/>
    <w:rsid w:val="00494D8C"/>
    <w:rsid w:val="00494E16"/>
    <w:rsid w:val="004952C6"/>
    <w:rsid w:val="004955F8"/>
    <w:rsid w:val="004956C8"/>
    <w:rsid w:val="00495728"/>
    <w:rsid w:val="00495755"/>
    <w:rsid w:val="00495825"/>
    <w:rsid w:val="00495848"/>
    <w:rsid w:val="00495F3E"/>
    <w:rsid w:val="004961A0"/>
    <w:rsid w:val="00496262"/>
    <w:rsid w:val="004963D9"/>
    <w:rsid w:val="0049679D"/>
    <w:rsid w:val="004968A7"/>
    <w:rsid w:val="004969FC"/>
    <w:rsid w:val="00496C4B"/>
    <w:rsid w:val="00496CD1"/>
    <w:rsid w:val="004970B8"/>
    <w:rsid w:val="0049723D"/>
    <w:rsid w:val="0049757E"/>
    <w:rsid w:val="004979D7"/>
    <w:rsid w:val="00497E72"/>
    <w:rsid w:val="00497F8B"/>
    <w:rsid w:val="004A0057"/>
    <w:rsid w:val="004A05CA"/>
    <w:rsid w:val="004A06BA"/>
    <w:rsid w:val="004A0C24"/>
    <w:rsid w:val="004A1015"/>
    <w:rsid w:val="004A118B"/>
    <w:rsid w:val="004A16CA"/>
    <w:rsid w:val="004A1759"/>
    <w:rsid w:val="004A17B2"/>
    <w:rsid w:val="004A1FE3"/>
    <w:rsid w:val="004A22B5"/>
    <w:rsid w:val="004A268C"/>
    <w:rsid w:val="004A284F"/>
    <w:rsid w:val="004A2850"/>
    <w:rsid w:val="004A2B00"/>
    <w:rsid w:val="004A2B57"/>
    <w:rsid w:val="004A31DD"/>
    <w:rsid w:val="004A39B5"/>
    <w:rsid w:val="004A3D52"/>
    <w:rsid w:val="004A42D2"/>
    <w:rsid w:val="004A4821"/>
    <w:rsid w:val="004A49AD"/>
    <w:rsid w:val="004A4AD3"/>
    <w:rsid w:val="004A4CAC"/>
    <w:rsid w:val="004A5055"/>
    <w:rsid w:val="004A5363"/>
    <w:rsid w:val="004A536C"/>
    <w:rsid w:val="004A536E"/>
    <w:rsid w:val="004A536F"/>
    <w:rsid w:val="004A5417"/>
    <w:rsid w:val="004A5A0E"/>
    <w:rsid w:val="004A5C38"/>
    <w:rsid w:val="004A5F07"/>
    <w:rsid w:val="004A5FEE"/>
    <w:rsid w:val="004A60FD"/>
    <w:rsid w:val="004A61CF"/>
    <w:rsid w:val="004A63A6"/>
    <w:rsid w:val="004A661C"/>
    <w:rsid w:val="004A680E"/>
    <w:rsid w:val="004A6BC6"/>
    <w:rsid w:val="004A6D48"/>
    <w:rsid w:val="004A6D6A"/>
    <w:rsid w:val="004A742C"/>
    <w:rsid w:val="004A776D"/>
    <w:rsid w:val="004A78ED"/>
    <w:rsid w:val="004A7946"/>
    <w:rsid w:val="004A7CFB"/>
    <w:rsid w:val="004A7E09"/>
    <w:rsid w:val="004B00B5"/>
    <w:rsid w:val="004B0115"/>
    <w:rsid w:val="004B0169"/>
    <w:rsid w:val="004B0333"/>
    <w:rsid w:val="004B046F"/>
    <w:rsid w:val="004B06BB"/>
    <w:rsid w:val="004B1158"/>
    <w:rsid w:val="004B179D"/>
    <w:rsid w:val="004B193D"/>
    <w:rsid w:val="004B1F6B"/>
    <w:rsid w:val="004B213C"/>
    <w:rsid w:val="004B21B8"/>
    <w:rsid w:val="004B2726"/>
    <w:rsid w:val="004B2A08"/>
    <w:rsid w:val="004B2A7E"/>
    <w:rsid w:val="004B2B9C"/>
    <w:rsid w:val="004B30CA"/>
    <w:rsid w:val="004B32A6"/>
    <w:rsid w:val="004B33F5"/>
    <w:rsid w:val="004B3E78"/>
    <w:rsid w:val="004B410A"/>
    <w:rsid w:val="004B43D5"/>
    <w:rsid w:val="004B4615"/>
    <w:rsid w:val="004B499D"/>
    <w:rsid w:val="004B4BDC"/>
    <w:rsid w:val="004B4C9B"/>
    <w:rsid w:val="004B4DB3"/>
    <w:rsid w:val="004B4FCE"/>
    <w:rsid w:val="004B5014"/>
    <w:rsid w:val="004B5300"/>
    <w:rsid w:val="004B538B"/>
    <w:rsid w:val="004B568D"/>
    <w:rsid w:val="004B593B"/>
    <w:rsid w:val="004B5BBA"/>
    <w:rsid w:val="004B6002"/>
    <w:rsid w:val="004B6418"/>
    <w:rsid w:val="004B6A9F"/>
    <w:rsid w:val="004B6ADB"/>
    <w:rsid w:val="004B7425"/>
    <w:rsid w:val="004B7B30"/>
    <w:rsid w:val="004C0284"/>
    <w:rsid w:val="004C077A"/>
    <w:rsid w:val="004C07DB"/>
    <w:rsid w:val="004C0A31"/>
    <w:rsid w:val="004C0A6F"/>
    <w:rsid w:val="004C10DC"/>
    <w:rsid w:val="004C113C"/>
    <w:rsid w:val="004C1452"/>
    <w:rsid w:val="004C1689"/>
    <w:rsid w:val="004C170A"/>
    <w:rsid w:val="004C1732"/>
    <w:rsid w:val="004C1A64"/>
    <w:rsid w:val="004C2269"/>
    <w:rsid w:val="004C25D8"/>
    <w:rsid w:val="004C26AF"/>
    <w:rsid w:val="004C26D3"/>
    <w:rsid w:val="004C2C8A"/>
    <w:rsid w:val="004C2D73"/>
    <w:rsid w:val="004C3312"/>
    <w:rsid w:val="004C3605"/>
    <w:rsid w:val="004C382E"/>
    <w:rsid w:val="004C3884"/>
    <w:rsid w:val="004C3904"/>
    <w:rsid w:val="004C3A1E"/>
    <w:rsid w:val="004C3D77"/>
    <w:rsid w:val="004C421A"/>
    <w:rsid w:val="004C45B5"/>
    <w:rsid w:val="004C47BC"/>
    <w:rsid w:val="004C49C1"/>
    <w:rsid w:val="004C4CCA"/>
    <w:rsid w:val="004C51F5"/>
    <w:rsid w:val="004C530E"/>
    <w:rsid w:val="004C56C6"/>
    <w:rsid w:val="004C64E3"/>
    <w:rsid w:val="004C6594"/>
    <w:rsid w:val="004C65D6"/>
    <w:rsid w:val="004C6E73"/>
    <w:rsid w:val="004C6FE8"/>
    <w:rsid w:val="004C7023"/>
    <w:rsid w:val="004C72C0"/>
    <w:rsid w:val="004C73F8"/>
    <w:rsid w:val="004C7507"/>
    <w:rsid w:val="004C78C7"/>
    <w:rsid w:val="004C79CD"/>
    <w:rsid w:val="004C7C37"/>
    <w:rsid w:val="004C7CEA"/>
    <w:rsid w:val="004C7E4D"/>
    <w:rsid w:val="004D008E"/>
    <w:rsid w:val="004D0116"/>
    <w:rsid w:val="004D035E"/>
    <w:rsid w:val="004D03E2"/>
    <w:rsid w:val="004D04E4"/>
    <w:rsid w:val="004D06E8"/>
    <w:rsid w:val="004D0CE8"/>
    <w:rsid w:val="004D13A2"/>
    <w:rsid w:val="004D178D"/>
    <w:rsid w:val="004D1B94"/>
    <w:rsid w:val="004D1BC0"/>
    <w:rsid w:val="004D1CB6"/>
    <w:rsid w:val="004D1EC8"/>
    <w:rsid w:val="004D2341"/>
    <w:rsid w:val="004D2439"/>
    <w:rsid w:val="004D288E"/>
    <w:rsid w:val="004D2DE2"/>
    <w:rsid w:val="004D30F0"/>
    <w:rsid w:val="004D3530"/>
    <w:rsid w:val="004D363D"/>
    <w:rsid w:val="004D3857"/>
    <w:rsid w:val="004D3B48"/>
    <w:rsid w:val="004D3BD7"/>
    <w:rsid w:val="004D458B"/>
    <w:rsid w:val="004D48D7"/>
    <w:rsid w:val="004D4A7C"/>
    <w:rsid w:val="004D4A9F"/>
    <w:rsid w:val="004D4B56"/>
    <w:rsid w:val="004D4F3A"/>
    <w:rsid w:val="004D51AB"/>
    <w:rsid w:val="004D5330"/>
    <w:rsid w:val="004D5378"/>
    <w:rsid w:val="004D57B6"/>
    <w:rsid w:val="004D58BC"/>
    <w:rsid w:val="004D625B"/>
    <w:rsid w:val="004D651A"/>
    <w:rsid w:val="004D6660"/>
    <w:rsid w:val="004D678C"/>
    <w:rsid w:val="004D6876"/>
    <w:rsid w:val="004D68EC"/>
    <w:rsid w:val="004D7666"/>
    <w:rsid w:val="004D76F2"/>
    <w:rsid w:val="004D7B46"/>
    <w:rsid w:val="004D7C7E"/>
    <w:rsid w:val="004D7EA6"/>
    <w:rsid w:val="004E01FE"/>
    <w:rsid w:val="004E0251"/>
    <w:rsid w:val="004E054E"/>
    <w:rsid w:val="004E06BA"/>
    <w:rsid w:val="004E1A11"/>
    <w:rsid w:val="004E282D"/>
    <w:rsid w:val="004E2C18"/>
    <w:rsid w:val="004E2DD5"/>
    <w:rsid w:val="004E3353"/>
    <w:rsid w:val="004E36FC"/>
    <w:rsid w:val="004E390B"/>
    <w:rsid w:val="004E3976"/>
    <w:rsid w:val="004E3BAC"/>
    <w:rsid w:val="004E3BE0"/>
    <w:rsid w:val="004E3F25"/>
    <w:rsid w:val="004E403D"/>
    <w:rsid w:val="004E41AE"/>
    <w:rsid w:val="004E464F"/>
    <w:rsid w:val="004E4A96"/>
    <w:rsid w:val="004E4B0E"/>
    <w:rsid w:val="004E4E30"/>
    <w:rsid w:val="004E4F00"/>
    <w:rsid w:val="004E4F80"/>
    <w:rsid w:val="004E4FB5"/>
    <w:rsid w:val="004E5070"/>
    <w:rsid w:val="004E51B9"/>
    <w:rsid w:val="004E52F8"/>
    <w:rsid w:val="004E56EA"/>
    <w:rsid w:val="004E5C53"/>
    <w:rsid w:val="004E5CE4"/>
    <w:rsid w:val="004E607C"/>
    <w:rsid w:val="004E6453"/>
    <w:rsid w:val="004E64CC"/>
    <w:rsid w:val="004E6B10"/>
    <w:rsid w:val="004E6BB6"/>
    <w:rsid w:val="004E6EF7"/>
    <w:rsid w:val="004E6F0E"/>
    <w:rsid w:val="004E7538"/>
    <w:rsid w:val="004E75AD"/>
    <w:rsid w:val="004E76EA"/>
    <w:rsid w:val="004E776E"/>
    <w:rsid w:val="004E77B9"/>
    <w:rsid w:val="004E7855"/>
    <w:rsid w:val="004F012B"/>
    <w:rsid w:val="004F01CA"/>
    <w:rsid w:val="004F01D1"/>
    <w:rsid w:val="004F0289"/>
    <w:rsid w:val="004F0527"/>
    <w:rsid w:val="004F07D7"/>
    <w:rsid w:val="004F0C8C"/>
    <w:rsid w:val="004F11A1"/>
    <w:rsid w:val="004F1BFE"/>
    <w:rsid w:val="004F1E9B"/>
    <w:rsid w:val="004F22BB"/>
    <w:rsid w:val="004F289E"/>
    <w:rsid w:val="004F28CE"/>
    <w:rsid w:val="004F2963"/>
    <w:rsid w:val="004F3515"/>
    <w:rsid w:val="004F3D53"/>
    <w:rsid w:val="004F3D6D"/>
    <w:rsid w:val="004F3F2B"/>
    <w:rsid w:val="004F45A6"/>
    <w:rsid w:val="004F4E59"/>
    <w:rsid w:val="004F4F8D"/>
    <w:rsid w:val="004F50C7"/>
    <w:rsid w:val="004F5161"/>
    <w:rsid w:val="004F52AA"/>
    <w:rsid w:val="004F571D"/>
    <w:rsid w:val="004F57B1"/>
    <w:rsid w:val="004F596E"/>
    <w:rsid w:val="004F5C6D"/>
    <w:rsid w:val="004F5DE7"/>
    <w:rsid w:val="004F5EC7"/>
    <w:rsid w:val="004F66A8"/>
    <w:rsid w:val="004F6A61"/>
    <w:rsid w:val="004F6AAC"/>
    <w:rsid w:val="004F6B1A"/>
    <w:rsid w:val="004F6B69"/>
    <w:rsid w:val="004F709F"/>
    <w:rsid w:val="004F7178"/>
    <w:rsid w:val="004F76DC"/>
    <w:rsid w:val="004F78C9"/>
    <w:rsid w:val="004F799F"/>
    <w:rsid w:val="004F7DD7"/>
    <w:rsid w:val="004F7E39"/>
    <w:rsid w:val="00500329"/>
    <w:rsid w:val="00500CCA"/>
    <w:rsid w:val="00500EAE"/>
    <w:rsid w:val="00500FDC"/>
    <w:rsid w:val="0050172C"/>
    <w:rsid w:val="005019A7"/>
    <w:rsid w:val="00501B9D"/>
    <w:rsid w:val="005022A3"/>
    <w:rsid w:val="00502605"/>
    <w:rsid w:val="00502E80"/>
    <w:rsid w:val="00503133"/>
    <w:rsid w:val="00503282"/>
    <w:rsid w:val="00503291"/>
    <w:rsid w:val="005034E6"/>
    <w:rsid w:val="005038D1"/>
    <w:rsid w:val="00503CD1"/>
    <w:rsid w:val="00503D17"/>
    <w:rsid w:val="0050404B"/>
    <w:rsid w:val="005041CB"/>
    <w:rsid w:val="00504348"/>
    <w:rsid w:val="00504B1A"/>
    <w:rsid w:val="00504E1E"/>
    <w:rsid w:val="0050517E"/>
    <w:rsid w:val="005052C4"/>
    <w:rsid w:val="0050561A"/>
    <w:rsid w:val="00505905"/>
    <w:rsid w:val="0050593C"/>
    <w:rsid w:val="00505AC0"/>
    <w:rsid w:val="00505BEC"/>
    <w:rsid w:val="00505ED5"/>
    <w:rsid w:val="005062C7"/>
    <w:rsid w:val="00506322"/>
    <w:rsid w:val="00506E57"/>
    <w:rsid w:val="00507602"/>
    <w:rsid w:val="005076DC"/>
    <w:rsid w:val="005077F3"/>
    <w:rsid w:val="0050784F"/>
    <w:rsid w:val="005078D8"/>
    <w:rsid w:val="00510399"/>
    <w:rsid w:val="00510669"/>
    <w:rsid w:val="00510838"/>
    <w:rsid w:val="0051085F"/>
    <w:rsid w:val="005108CB"/>
    <w:rsid w:val="005117EE"/>
    <w:rsid w:val="00511850"/>
    <w:rsid w:val="00511851"/>
    <w:rsid w:val="0051229C"/>
    <w:rsid w:val="00512929"/>
    <w:rsid w:val="00512A66"/>
    <w:rsid w:val="00512D70"/>
    <w:rsid w:val="00513856"/>
    <w:rsid w:val="00513B73"/>
    <w:rsid w:val="00513C7A"/>
    <w:rsid w:val="00513F41"/>
    <w:rsid w:val="0051406A"/>
    <w:rsid w:val="00514071"/>
    <w:rsid w:val="005142FC"/>
    <w:rsid w:val="00514398"/>
    <w:rsid w:val="005145BD"/>
    <w:rsid w:val="00514668"/>
    <w:rsid w:val="00514B54"/>
    <w:rsid w:val="00514D34"/>
    <w:rsid w:val="005158CE"/>
    <w:rsid w:val="005159F6"/>
    <w:rsid w:val="00515B63"/>
    <w:rsid w:val="00516235"/>
    <w:rsid w:val="00516713"/>
    <w:rsid w:val="00516A91"/>
    <w:rsid w:val="00516D6B"/>
    <w:rsid w:val="005170CA"/>
    <w:rsid w:val="00517211"/>
    <w:rsid w:val="00517220"/>
    <w:rsid w:val="005173DA"/>
    <w:rsid w:val="00517567"/>
    <w:rsid w:val="0051760F"/>
    <w:rsid w:val="005179F6"/>
    <w:rsid w:val="00517D77"/>
    <w:rsid w:val="00517FC1"/>
    <w:rsid w:val="00520052"/>
    <w:rsid w:val="005201BC"/>
    <w:rsid w:val="00520812"/>
    <w:rsid w:val="00520B00"/>
    <w:rsid w:val="00520E94"/>
    <w:rsid w:val="00520EB2"/>
    <w:rsid w:val="00521102"/>
    <w:rsid w:val="00521155"/>
    <w:rsid w:val="00521185"/>
    <w:rsid w:val="00521B75"/>
    <w:rsid w:val="00521CE9"/>
    <w:rsid w:val="005220BB"/>
    <w:rsid w:val="0052249B"/>
    <w:rsid w:val="00522598"/>
    <w:rsid w:val="005227BD"/>
    <w:rsid w:val="00522862"/>
    <w:rsid w:val="00522880"/>
    <w:rsid w:val="00522E20"/>
    <w:rsid w:val="00522E3D"/>
    <w:rsid w:val="005233E2"/>
    <w:rsid w:val="00523585"/>
    <w:rsid w:val="00523624"/>
    <w:rsid w:val="00523797"/>
    <w:rsid w:val="00523903"/>
    <w:rsid w:val="00523AD3"/>
    <w:rsid w:val="00523D72"/>
    <w:rsid w:val="00523D9D"/>
    <w:rsid w:val="00523FBE"/>
    <w:rsid w:val="005244A8"/>
    <w:rsid w:val="00524865"/>
    <w:rsid w:val="00524DB7"/>
    <w:rsid w:val="00524DD8"/>
    <w:rsid w:val="00524E19"/>
    <w:rsid w:val="00524E78"/>
    <w:rsid w:val="00524F8A"/>
    <w:rsid w:val="0052513A"/>
    <w:rsid w:val="00525D94"/>
    <w:rsid w:val="0052610D"/>
    <w:rsid w:val="005261F5"/>
    <w:rsid w:val="00526450"/>
    <w:rsid w:val="005265D9"/>
    <w:rsid w:val="00527666"/>
    <w:rsid w:val="005277E6"/>
    <w:rsid w:val="005277EA"/>
    <w:rsid w:val="005278F1"/>
    <w:rsid w:val="00527922"/>
    <w:rsid w:val="00527E3E"/>
    <w:rsid w:val="00527EE8"/>
    <w:rsid w:val="0053012C"/>
    <w:rsid w:val="0053024B"/>
    <w:rsid w:val="00530315"/>
    <w:rsid w:val="00530823"/>
    <w:rsid w:val="005308BC"/>
    <w:rsid w:val="00530AE5"/>
    <w:rsid w:val="00530B3B"/>
    <w:rsid w:val="00530D3F"/>
    <w:rsid w:val="00530F29"/>
    <w:rsid w:val="0053103C"/>
    <w:rsid w:val="00531389"/>
    <w:rsid w:val="005314A6"/>
    <w:rsid w:val="0053179D"/>
    <w:rsid w:val="005317AA"/>
    <w:rsid w:val="00531B20"/>
    <w:rsid w:val="00531CED"/>
    <w:rsid w:val="00531CF2"/>
    <w:rsid w:val="00531DA3"/>
    <w:rsid w:val="00532397"/>
    <w:rsid w:val="00532427"/>
    <w:rsid w:val="00532493"/>
    <w:rsid w:val="005327EB"/>
    <w:rsid w:val="00532A42"/>
    <w:rsid w:val="00532E4A"/>
    <w:rsid w:val="00532FCD"/>
    <w:rsid w:val="00533125"/>
    <w:rsid w:val="005334D4"/>
    <w:rsid w:val="005335F1"/>
    <w:rsid w:val="00533641"/>
    <w:rsid w:val="005342EE"/>
    <w:rsid w:val="00534741"/>
    <w:rsid w:val="0053487F"/>
    <w:rsid w:val="005348EE"/>
    <w:rsid w:val="00534C5F"/>
    <w:rsid w:val="00534E38"/>
    <w:rsid w:val="005351C0"/>
    <w:rsid w:val="0053525A"/>
    <w:rsid w:val="0053530F"/>
    <w:rsid w:val="0053549C"/>
    <w:rsid w:val="00535549"/>
    <w:rsid w:val="00535D5D"/>
    <w:rsid w:val="005367B7"/>
    <w:rsid w:val="005367D7"/>
    <w:rsid w:val="00536A6A"/>
    <w:rsid w:val="00536AE1"/>
    <w:rsid w:val="00536C7C"/>
    <w:rsid w:val="00536CCB"/>
    <w:rsid w:val="00536D24"/>
    <w:rsid w:val="0053717F"/>
    <w:rsid w:val="0053723E"/>
    <w:rsid w:val="0053756F"/>
    <w:rsid w:val="00537648"/>
    <w:rsid w:val="0053765A"/>
    <w:rsid w:val="0053767B"/>
    <w:rsid w:val="005376C5"/>
    <w:rsid w:val="005378AB"/>
    <w:rsid w:val="00537994"/>
    <w:rsid w:val="005379BF"/>
    <w:rsid w:val="00537EE7"/>
    <w:rsid w:val="00537F4D"/>
    <w:rsid w:val="00537FB3"/>
    <w:rsid w:val="005405BA"/>
    <w:rsid w:val="00540A10"/>
    <w:rsid w:val="00540BCE"/>
    <w:rsid w:val="00540D88"/>
    <w:rsid w:val="00540FA2"/>
    <w:rsid w:val="0054101F"/>
    <w:rsid w:val="00541079"/>
    <w:rsid w:val="0054112D"/>
    <w:rsid w:val="0054113A"/>
    <w:rsid w:val="0054140E"/>
    <w:rsid w:val="00541484"/>
    <w:rsid w:val="0054157D"/>
    <w:rsid w:val="00541E3B"/>
    <w:rsid w:val="0054224E"/>
    <w:rsid w:val="00542321"/>
    <w:rsid w:val="005425A1"/>
    <w:rsid w:val="0054307C"/>
    <w:rsid w:val="0054308E"/>
    <w:rsid w:val="0054372C"/>
    <w:rsid w:val="0054376F"/>
    <w:rsid w:val="00543DEE"/>
    <w:rsid w:val="005440A5"/>
    <w:rsid w:val="00544136"/>
    <w:rsid w:val="005445B0"/>
    <w:rsid w:val="00544659"/>
    <w:rsid w:val="005447CD"/>
    <w:rsid w:val="0054499E"/>
    <w:rsid w:val="00544B21"/>
    <w:rsid w:val="00545092"/>
    <w:rsid w:val="005451DA"/>
    <w:rsid w:val="0054552F"/>
    <w:rsid w:val="005457B5"/>
    <w:rsid w:val="005458D4"/>
    <w:rsid w:val="005459E1"/>
    <w:rsid w:val="00545C90"/>
    <w:rsid w:val="00545F00"/>
    <w:rsid w:val="00545F77"/>
    <w:rsid w:val="0054639F"/>
    <w:rsid w:val="005463BB"/>
    <w:rsid w:val="00546AC1"/>
    <w:rsid w:val="00546D4F"/>
    <w:rsid w:val="00547123"/>
    <w:rsid w:val="005474FE"/>
    <w:rsid w:val="00547A96"/>
    <w:rsid w:val="00547E20"/>
    <w:rsid w:val="0055019A"/>
    <w:rsid w:val="005503F8"/>
    <w:rsid w:val="00550659"/>
    <w:rsid w:val="00550716"/>
    <w:rsid w:val="00550A46"/>
    <w:rsid w:val="005511CA"/>
    <w:rsid w:val="00551542"/>
    <w:rsid w:val="0055178B"/>
    <w:rsid w:val="005517DA"/>
    <w:rsid w:val="00551FF9"/>
    <w:rsid w:val="005520A9"/>
    <w:rsid w:val="005523ED"/>
    <w:rsid w:val="00552ACB"/>
    <w:rsid w:val="00552CE4"/>
    <w:rsid w:val="00552E38"/>
    <w:rsid w:val="00552F1E"/>
    <w:rsid w:val="005531C6"/>
    <w:rsid w:val="00553271"/>
    <w:rsid w:val="0055394E"/>
    <w:rsid w:val="00553BE9"/>
    <w:rsid w:val="00553C55"/>
    <w:rsid w:val="00554323"/>
    <w:rsid w:val="005543BB"/>
    <w:rsid w:val="005545B9"/>
    <w:rsid w:val="0055479C"/>
    <w:rsid w:val="0055481B"/>
    <w:rsid w:val="00554934"/>
    <w:rsid w:val="00554966"/>
    <w:rsid w:val="005549F2"/>
    <w:rsid w:val="00554E9B"/>
    <w:rsid w:val="005554E1"/>
    <w:rsid w:val="005555A0"/>
    <w:rsid w:val="00555749"/>
    <w:rsid w:val="00555E56"/>
    <w:rsid w:val="00555FA2"/>
    <w:rsid w:val="005565DD"/>
    <w:rsid w:val="00556601"/>
    <w:rsid w:val="00556E9B"/>
    <w:rsid w:val="00556F80"/>
    <w:rsid w:val="005571E6"/>
    <w:rsid w:val="00557AAF"/>
    <w:rsid w:val="00560041"/>
    <w:rsid w:val="005602E8"/>
    <w:rsid w:val="00560732"/>
    <w:rsid w:val="00560BCE"/>
    <w:rsid w:val="00560BED"/>
    <w:rsid w:val="00561260"/>
    <w:rsid w:val="00561451"/>
    <w:rsid w:val="005616CC"/>
    <w:rsid w:val="00561739"/>
    <w:rsid w:val="00561AEA"/>
    <w:rsid w:val="00561EB5"/>
    <w:rsid w:val="00562164"/>
    <w:rsid w:val="00562483"/>
    <w:rsid w:val="00562904"/>
    <w:rsid w:val="00562A80"/>
    <w:rsid w:val="00562D75"/>
    <w:rsid w:val="00563366"/>
    <w:rsid w:val="00563421"/>
    <w:rsid w:val="005636BA"/>
    <w:rsid w:val="00563B12"/>
    <w:rsid w:val="005641EB"/>
    <w:rsid w:val="005642D1"/>
    <w:rsid w:val="0056435D"/>
    <w:rsid w:val="005646AF"/>
    <w:rsid w:val="00564DC7"/>
    <w:rsid w:val="00564FA4"/>
    <w:rsid w:val="0056503A"/>
    <w:rsid w:val="005651A5"/>
    <w:rsid w:val="00565292"/>
    <w:rsid w:val="0056543D"/>
    <w:rsid w:val="005655AA"/>
    <w:rsid w:val="0056648F"/>
    <w:rsid w:val="005664A2"/>
    <w:rsid w:val="00566A13"/>
    <w:rsid w:val="00566BE4"/>
    <w:rsid w:val="00566CDA"/>
    <w:rsid w:val="00566DAD"/>
    <w:rsid w:val="00567034"/>
    <w:rsid w:val="00567052"/>
    <w:rsid w:val="005670AE"/>
    <w:rsid w:val="0056738F"/>
    <w:rsid w:val="0056758F"/>
    <w:rsid w:val="00567CF1"/>
    <w:rsid w:val="00567DDC"/>
    <w:rsid w:val="00567E36"/>
    <w:rsid w:val="00570227"/>
    <w:rsid w:val="005705A2"/>
    <w:rsid w:val="00570EE2"/>
    <w:rsid w:val="005710AD"/>
    <w:rsid w:val="005713AF"/>
    <w:rsid w:val="005715FF"/>
    <w:rsid w:val="0057185E"/>
    <w:rsid w:val="00571A5C"/>
    <w:rsid w:val="00571D11"/>
    <w:rsid w:val="00571DFC"/>
    <w:rsid w:val="00572615"/>
    <w:rsid w:val="00572C58"/>
    <w:rsid w:val="00573368"/>
    <w:rsid w:val="00573401"/>
    <w:rsid w:val="005734FE"/>
    <w:rsid w:val="00573B35"/>
    <w:rsid w:val="00573BF0"/>
    <w:rsid w:val="00573C70"/>
    <w:rsid w:val="00574162"/>
    <w:rsid w:val="0057434E"/>
    <w:rsid w:val="0057473F"/>
    <w:rsid w:val="0057484A"/>
    <w:rsid w:val="005748E6"/>
    <w:rsid w:val="00574917"/>
    <w:rsid w:val="00574994"/>
    <w:rsid w:val="00574D41"/>
    <w:rsid w:val="00574D88"/>
    <w:rsid w:val="00575361"/>
    <w:rsid w:val="0057567B"/>
    <w:rsid w:val="005759F6"/>
    <w:rsid w:val="00575B2D"/>
    <w:rsid w:val="005760A9"/>
    <w:rsid w:val="00576824"/>
    <w:rsid w:val="005778C9"/>
    <w:rsid w:val="005779D1"/>
    <w:rsid w:val="00577B3E"/>
    <w:rsid w:val="005802BC"/>
    <w:rsid w:val="005802FE"/>
    <w:rsid w:val="0058073C"/>
    <w:rsid w:val="0058096F"/>
    <w:rsid w:val="00580B0A"/>
    <w:rsid w:val="00580DE7"/>
    <w:rsid w:val="005817D2"/>
    <w:rsid w:val="00581F32"/>
    <w:rsid w:val="005820FF"/>
    <w:rsid w:val="005823C3"/>
    <w:rsid w:val="005824C9"/>
    <w:rsid w:val="005827A5"/>
    <w:rsid w:val="005827E0"/>
    <w:rsid w:val="00582A92"/>
    <w:rsid w:val="005833C9"/>
    <w:rsid w:val="005836DA"/>
    <w:rsid w:val="005839EB"/>
    <w:rsid w:val="00583AB0"/>
    <w:rsid w:val="00583AB2"/>
    <w:rsid w:val="00583BCD"/>
    <w:rsid w:val="0058438E"/>
    <w:rsid w:val="005844C6"/>
    <w:rsid w:val="0058459B"/>
    <w:rsid w:val="00584755"/>
    <w:rsid w:val="00584B94"/>
    <w:rsid w:val="00584BDE"/>
    <w:rsid w:val="00584FA5"/>
    <w:rsid w:val="00585506"/>
    <w:rsid w:val="00585A7D"/>
    <w:rsid w:val="005862B3"/>
    <w:rsid w:val="00586376"/>
    <w:rsid w:val="005865D1"/>
    <w:rsid w:val="00586E10"/>
    <w:rsid w:val="00586FE4"/>
    <w:rsid w:val="00587148"/>
    <w:rsid w:val="0058771E"/>
    <w:rsid w:val="005879A6"/>
    <w:rsid w:val="00587D8F"/>
    <w:rsid w:val="00587F5E"/>
    <w:rsid w:val="00590064"/>
    <w:rsid w:val="005905E4"/>
    <w:rsid w:val="005907BA"/>
    <w:rsid w:val="00590863"/>
    <w:rsid w:val="005908CE"/>
    <w:rsid w:val="005910E3"/>
    <w:rsid w:val="005912CC"/>
    <w:rsid w:val="0059143D"/>
    <w:rsid w:val="005915AD"/>
    <w:rsid w:val="005917C3"/>
    <w:rsid w:val="005919A0"/>
    <w:rsid w:val="00591E09"/>
    <w:rsid w:val="0059200B"/>
    <w:rsid w:val="005920BD"/>
    <w:rsid w:val="0059240B"/>
    <w:rsid w:val="00592966"/>
    <w:rsid w:val="00592A00"/>
    <w:rsid w:val="00592A03"/>
    <w:rsid w:val="0059357E"/>
    <w:rsid w:val="00593AB6"/>
    <w:rsid w:val="00593C56"/>
    <w:rsid w:val="00594039"/>
    <w:rsid w:val="00594407"/>
    <w:rsid w:val="00594483"/>
    <w:rsid w:val="0059450D"/>
    <w:rsid w:val="005947EB"/>
    <w:rsid w:val="0059491B"/>
    <w:rsid w:val="00594998"/>
    <w:rsid w:val="00594C9C"/>
    <w:rsid w:val="00595518"/>
    <w:rsid w:val="00595527"/>
    <w:rsid w:val="00595784"/>
    <w:rsid w:val="005957B6"/>
    <w:rsid w:val="005957BD"/>
    <w:rsid w:val="005957BF"/>
    <w:rsid w:val="00595ECD"/>
    <w:rsid w:val="00595F68"/>
    <w:rsid w:val="0059626B"/>
    <w:rsid w:val="00596737"/>
    <w:rsid w:val="00596982"/>
    <w:rsid w:val="00596C94"/>
    <w:rsid w:val="0059766D"/>
    <w:rsid w:val="00597A3A"/>
    <w:rsid w:val="00597BCC"/>
    <w:rsid w:val="00597DCF"/>
    <w:rsid w:val="00597E02"/>
    <w:rsid w:val="005A09C0"/>
    <w:rsid w:val="005A0C56"/>
    <w:rsid w:val="005A0CB0"/>
    <w:rsid w:val="005A0F13"/>
    <w:rsid w:val="005A14C3"/>
    <w:rsid w:val="005A18F8"/>
    <w:rsid w:val="005A23C2"/>
    <w:rsid w:val="005A24EF"/>
    <w:rsid w:val="005A2B06"/>
    <w:rsid w:val="005A2B13"/>
    <w:rsid w:val="005A2C41"/>
    <w:rsid w:val="005A3158"/>
    <w:rsid w:val="005A31EF"/>
    <w:rsid w:val="005A325D"/>
    <w:rsid w:val="005A32A2"/>
    <w:rsid w:val="005A32FE"/>
    <w:rsid w:val="005A358F"/>
    <w:rsid w:val="005A3777"/>
    <w:rsid w:val="005A3E87"/>
    <w:rsid w:val="005A3EDA"/>
    <w:rsid w:val="005A41F3"/>
    <w:rsid w:val="005A4491"/>
    <w:rsid w:val="005A49DA"/>
    <w:rsid w:val="005A5045"/>
    <w:rsid w:val="005A5219"/>
    <w:rsid w:val="005A57C8"/>
    <w:rsid w:val="005A58C2"/>
    <w:rsid w:val="005A5BBE"/>
    <w:rsid w:val="005A5F66"/>
    <w:rsid w:val="005A630B"/>
    <w:rsid w:val="005A64FD"/>
    <w:rsid w:val="005A66EA"/>
    <w:rsid w:val="005A69E8"/>
    <w:rsid w:val="005A7173"/>
    <w:rsid w:val="005A7489"/>
    <w:rsid w:val="005A74A3"/>
    <w:rsid w:val="005A782E"/>
    <w:rsid w:val="005A7FA9"/>
    <w:rsid w:val="005B025B"/>
    <w:rsid w:val="005B0272"/>
    <w:rsid w:val="005B0561"/>
    <w:rsid w:val="005B0B88"/>
    <w:rsid w:val="005B0BF0"/>
    <w:rsid w:val="005B0D65"/>
    <w:rsid w:val="005B1151"/>
    <w:rsid w:val="005B1162"/>
    <w:rsid w:val="005B1526"/>
    <w:rsid w:val="005B162F"/>
    <w:rsid w:val="005B167D"/>
    <w:rsid w:val="005B1835"/>
    <w:rsid w:val="005B1A6B"/>
    <w:rsid w:val="005B1F2A"/>
    <w:rsid w:val="005B1FCB"/>
    <w:rsid w:val="005B21AE"/>
    <w:rsid w:val="005B2461"/>
    <w:rsid w:val="005B2743"/>
    <w:rsid w:val="005B30CD"/>
    <w:rsid w:val="005B3688"/>
    <w:rsid w:val="005B3C48"/>
    <w:rsid w:val="005B4090"/>
    <w:rsid w:val="005B457C"/>
    <w:rsid w:val="005B48AE"/>
    <w:rsid w:val="005B4B28"/>
    <w:rsid w:val="005B4DA5"/>
    <w:rsid w:val="005B4F30"/>
    <w:rsid w:val="005B562C"/>
    <w:rsid w:val="005B56F2"/>
    <w:rsid w:val="005B584F"/>
    <w:rsid w:val="005B5868"/>
    <w:rsid w:val="005B5B73"/>
    <w:rsid w:val="005B5BCE"/>
    <w:rsid w:val="005B5D6E"/>
    <w:rsid w:val="005B5F33"/>
    <w:rsid w:val="005B5FAD"/>
    <w:rsid w:val="005B6D9B"/>
    <w:rsid w:val="005B6ECF"/>
    <w:rsid w:val="005B730F"/>
    <w:rsid w:val="005B7820"/>
    <w:rsid w:val="005B7B4D"/>
    <w:rsid w:val="005B7F88"/>
    <w:rsid w:val="005C0729"/>
    <w:rsid w:val="005C0940"/>
    <w:rsid w:val="005C1176"/>
    <w:rsid w:val="005C125E"/>
    <w:rsid w:val="005C1631"/>
    <w:rsid w:val="005C1712"/>
    <w:rsid w:val="005C1E95"/>
    <w:rsid w:val="005C1F07"/>
    <w:rsid w:val="005C231C"/>
    <w:rsid w:val="005C262A"/>
    <w:rsid w:val="005C2BEF"/>
    <w:rsid w:val="005C2D83"/>
    <w:rsid w:val="005C3191"/>
    <w:rsid w:val="005C32D5"/>
    <w:rsid w:val="005C3531"/>
    <w:rsid w:val="005C3785"/>
    <w:rsid w:val="005C4175"/>
    <w:rsid w:val="005C4517"/>
    <w:rsid w:val="005C45F3"/>
    <w:rsid w:val="005C4661"/>
    <w:rsid w:val="005C4A85"/>
    <w:rsid w:val="005C52C9"/>
    <w:rsid w:val="005C54B5"/>
    <w:rsid w:val="005C54C3"/>
    <w:rsid w:val="005C55FA"/>
    <w:rsid w:val="005C5DF4"/>
    <w:rsid w:val="005C5F4B"/>
    <w:rsid w:val="005C63BC"/>
    <w:rsid w:val="005C6791"/>
    <w:rsid w:val="005C69E3"/>
    <w:rsid w:val="005C6B65"/>
    <w:rsid w:val="005C6C3C"/>
    <w:rsid w:val="005C6D3F"/>
    <w:rsid w:val="005C6DCE"/>
    <w:rsid w:val="005C6E51"/>
    <w:rsid w:val="005C6F10"/>
    <w:rsid w:val="005C6FDB"/>
    <w:rsid w:val="005C6FF3"/>
    <w:rsid w:val="005C740B"/>
    <w:rsid w:val="005C75AA"/>
    <w:rsid w:val="005C7A85"/>
    <w:rsid w:val="005C7B17"/>
    <w:rsid w:val="005C7D53"/>
    <w:rsid w:val="005C7F53"/>
    <w:rsid w:val="005D0182"/>
    <w:rsid w:val="005D02EC"/>
    <w:rsid w:val="005D0312"/>
    <w:rsid w:val="005D032E"/>
    <w:rsid w:val="005D06EB"/>
    <w:rsid w:val="005D06EC"/>
    <w:rsid w:val="005D0D0E"/>
    <w:rsid w:val="005D0EE7"/>
    <w:rsid w:val="005D0F04"/>
    <w:rsid w:val="005D1BC7"/>
    <w:rsid w:val="005D1FA6"/>
    <w:rsid w:val="005D1FAE"/>
    <w:rsid w:val="005D2284"/>
    <w:rsid w:val="005D241A"/>
    <w:rsid w:val="005D308D"/>
    <w:rsid w:val="005D325E"/>
    <w:rsid w:val="005D3A1E"/>
    <w:rsid w:val="005D3CF0"/>
    <w:rsid w:val="005D3D7E"/>
    <w:rsid w:val="005D440E"/>
    <w:rsid w:val="005D4479"/>
    <w:rsid w:val="005D44A6"/>
    <w:rsid w:val="005D468A"/>
    <w:rsid w:val="005D48C5"/>
    <w:rsid w:val="005D4E61"/>
    <w:rsid w:val="005D528F"/>
    <w:rsid w:val="005D5584"/>
    <w:rsid w:val="005D59FC"/>
    <w:rsid w:val="005D5A85"/>
    <w:rsid w:val="005D5AFF"/>
    <w:rsid w:val="005D5BC0"/>
    <w:rsid w:val="005D5CFD"/>
    <w:rsid w:val="005D6014"/>
    <w:rsid w:val="005D6E4A"/>
    <w:rsid w:val="005D721C"/>
    <w:rsid w:val="005D735D"/>
    <w:rsid w:val="005D73C9"/>
    <w:rsid w:val="005D7424"/>
    <w:rsid w:val="005D757B"/>
    <w:rsid w:val="005D7881"/>
    <w:rsid w:val="005D78E0"/>
    <w:rsid w:val="005E001A"/>
    <w:rsid w:val="005E0307"/>
    <w:rsid w:val="005E04BF"/>
    <w:rsid w:val="005E04F0"/>
    <w:rsid w:val="005E12BD"/>
    <w:rsid w:val="005E1660"/>
    <w:rsid w:val="005E187A"/>
    <w:rsid w:val="005E195A"/>
    <w:rsid w:val="005E1EB8"/>
    <w:rsid w:val="005E203A"/>
    <w:rsid w:val="005E206C"/>
    <w:rsid w:val="005E23DA"/>
    <w:rsid w:val="005E2784"/>
    <w:rsid w:val="005E2B2D"/>
    <w:rsid w:val="005E3093"/>
    <w:rsid w:val="005E34EE"/>
    <w:rsid w:val="005E37B7"/>
    <w:rsid w:val="005E3AAB"/>
    <w:rsid w:val="005E3E1F"/>
    <w:rsid w:val="005E4009"/>
    <w:rsid w:val="005E48C7"/>
    <w:rsid w:val="005E493C"/>
    <w:rsid w:val="005E49D2"/>
    <w:rsid w:val="005E4B04"/>
    <w:rsid w:val="005E4DEF"/>
    <w:rsid w:val="005E504F"/>
    <w:rsid w:val="005E543F"/>
    <w:rsid w:val="005E546A"/>
    <w:rsid w:val="005E5A2D"/>
    <w:rsid w:val="005E5EC3"/>
    <w:rsid w:val="005E6A0A"/>
    <w:rsid w:val="005E6D40"/>
    <w:rsid w:val="005E7508"/>
    <w:rsid w:val="005E795D"/>
    <w:rsid w:val="005E7A3C"/>
    <w:rsid w:val="005E7DC6"/>
    <w:rsid w:val="005F0E37"/>
    <w:rsid w:val="005F0EAC"/>
    <w:rsid w:val="005F10CA"/>
    <w:rsid w:val="005F13B7"/>
    <w:rsid w:val="005F18E3"/>
    <w:rsid w:val="005F1F0F"/>
    <w:rsid w:val="005F2A4E"/>
    <w:rsid w:val="005F2D0B"/>
    <w:rsid w:val="005F2E1F"/>
    <w:rsid w:val="005F3073"/>
    <w:rsid w:val="005F313D"/>
    <w:rsid w:val="005F3321"/>
    <w:rsid w:val="005F344B"/>
    <w:rsid w:val="005F3D52"/>
    <w:rsid w:val="005F3ED6"/>
    <w:rsid w:val="005F3F16"/>
    <w:rsid w:val="005F4A74"/>
    <w:rsid w:val="005F4A87"/>
    <w:rsid w:val="005F501C"/>
    <w:rsid w:val="005F513C"/>
    <w:rsid w:val="005F5618"/>
    <w:rsid w:val="005F596C"/>
    <w:rsid w:val="005F59A2"/>
    <w:rsid w:val="005F5E21"/>
    <w:rsid w:val="005F5E87"/>
    <w:rsid w:val="005F624D"/>
    <w:rsid w:val="005F64C9"/>
    <w:rsid w:val="005F65B9"/>
    <w:rsid w:val="005F6872"/>
    <w:rsid w:val="005F6A76"/>
    <w:rsid w:val="005F6AE9"/>
    <w:rsid w:val="005F6BC0"/>
    <w:rsid w:val="005F6BE4"/>
    <w:rsid w:val="005F6EF8"/>
    <w:rsid w:val="005F72C5"/>
    <w:rsid w:val="005F738D"/>
    <w:rsid w:val="005F79CF"/>
    <w:rsid w:val="005F7BDC"/>
    <w:rsid w:val="005F7CC2"/>
    <w:rsid w:val="006000BD"/>
    <w:rsid w:val="0060062B"/>
    <w:rsid w:val="0060078D"/>
    <w:rsid w:val="006007D8"/>
    <w:rsid w:val="00600A30"/>
    <w:rsid w:val="00600DAE"/>
    <w:rsid w:val="00600F46"/>
    <w:rsid w:val="00600FDE"/>
    <w:rsid w:val="0060125A"/>
    <w:rsid w:val="006014A7"/>
    <w:rsid w:val="006014AF"/>
    <w:rsid w:val="00601533"/>
    <w:rsid w:val="006019F6"/>
    <w:rsid w:val="00601BAF"/>
    <w:rsid w:val="00601F74"/>
    <w:rsid w:val="0060203B"/>
    <w:rsid w:val="006020B1"/>
    <w:rsid w:val="006029C5"/>
    <w:rsid w:val="00602BC5"/>
    <w:rsid w:val="00602CAE"/>
    <w:rsid w:val="00602DA1"/>
    <w:rsid w:val="00602DB5"/>
    <w:rsid w:val="00602E00"/>
    <w:rsid w:val="006031BE"/>
    <w:rsid w:val="0060322B"/>
    <w:rsid w:val="00603354"/>
    <w:rsid w:val="00603476"/>
    <w:rsid w:val="0060356F"/>
    <w:rsid w:val="0060361C"/>
    <w:rsid w:val="00603983"/>
    <w:rsid w:val="00604018"/>
    <w:rsid w:val="00604308"/>
    <w:rsid w:val="0060479D"/>
    <w:rsid w:val="0060492D"/>
    <w:rsid w:val="00604A05"/>
    <w:rsid w:val="0060520B"/>
    <w:rsid w:val="0060536F"/>
    <w:rsid w:val="00605C8C"/>
    <w:rsid w:val="00605DDF"/>
    <w:rsid w:val="00605E41"/>
    <w:rsid w:val="00605E92"/>
    <w:rsid w:val="00605FE6"/>
    <w:rsid w:val="00606134"/>
    <w:rsid w:val="006062C6"/>
    <w:rsid w:val="006065AA"/>
    <w:rsid w:val="0060670F"/>
    <w:rsid w:val="006074F4"/>
    <w:rsid w:val="006076B2"/>
    <w:rsid w:val="00607B94"/>
    <w:rsid w:val="00607EE8"/>
    <w:rsid w:val="00607F7A"/>
    <w:rsid w:val="00610055"/>
    <w:rsid w:val="006100D4"/>
    <w:rsid w:val="006104B3"/>
    <w:rsid w:val="00610685"/>
    <w:rsid w:val="00610B24"/>
    <w:rsid w:val="00610BBB"/>
    <w:rsid w:val="00610C50"/>
    <w:rsid w:val="00610D0F"/>
    <w:rsid w:val="0061101A"/>
    <w:rsid w:val="00611299"/>
    <w:rsid w:val="00611448"/>
    <w:rsid w:val="0061147B"/>
    <w:rsid w:val="00611747"/>
    <w:rsid w:val="00611952"/>
    <w:rsid w:val="00611DD0"/>
    <w:rsid w:val="0061200A"/>
    <w:rsid w:val="00612950"/>
    <w:rsid w:val="00612E83"/>
    <w:rsid w:val="006131A6"/>
    <w:rsid w:val="006131DA"/>
    <w:rsid w:val="0061343F"/>
    <w:rsid w:val="006134E2"/>
    <w:rsid w:val="0061365D"/>
    <w:rsid w:val="0061370D"/>
    <w:rsid w:val="00613997"/>
    <w:rsid w:val="00613AEB"/>
    <w:rsid w:val="00613DB9"/>
    <w:rsid w:val="00613E02"/>
    <w:rsid w:val="006140F2"/>
    <w:rsid w:val="006148A0"/>
    <w:rsid w:val="00614956"/>
    <w:rsid w:val="00614DC0"/>
    <w:rsid w:val="00615099"/>
    <w:rsid w:val="006151CF"/>
    <w:rsid w:val="00615846"/>
    <w:rsid w:val="00615ABC"/>
    <w:rsid w:val="00615B6C"/>
    <w:rsid w:val="00615E33"/>
    <w:rsid w:val="006164FB"/>
    <w:rsid w:val="00616597"/>
    <w:rsid w:val="00616D58"/>
    <w:rsid w:val="00616D73"/>
    <w:rsid w:val="00616F0D"/>
    <w:rsid w:val="00616F74"/>
    <w:rsid w:val="0061759F"/>
    <w:rsid w:val="00617C52"/>
    <w:rsid w:val="006201BD"/>
    <w:rsid w:val="006202C4"/>
    <w:rsid w:val="0062058D"/>
    <w:rsid w:val="00620618"/>
    <w:rsid w:val="00620691"/>
    <w:rsid w:val="00620D9C"/>
    <w:rsid w:val="0062181B"/>
    <w:rsid w:val="00621C40"/>
    <w:rsid w:val="00621FB7"/>
    <w:rsid w:val="0062257E"/>
    <w:rsid w:val="00622626"/>
    <w:rsid w:val="006226F5"/>
    <w:rsid w:val="00622998"/>
    <w:rsid w:val="006229C6"/>
    <w:rsid w:val="00622B00"/>
    <w:rsid w:val="00622E5B"/>
    <w:rsid w:val="00622E6C"/>
    <w:rsid w:val="00622EA2"/>
    <w:rsid w:val="006232E5"/>
    <w:rsid w:val="0062331C"/>
    <w:rsid w:val="0062365E"/>
    <w:rsid w:val="00623C61"/>
    <w:rsid w:val="00623E83"/>
    <w:rsid w:val="00623EA1"/>
    <w:rsid w:val="00623F3B"/>
    <w:rsid w:val="00624039"/>
    <w:rsid w:val="00624662"/>
    <w:rsid w:val="00624AED"/>
    <w:rsid w:val="0062530C"/>
    <w:rsid w:val="00625321"/>
    <w:rsid w:val="00625352"/>
    <w:rsid w:val="006254BC"/>
    <w:rsid w:val="006256A1"/>
    <w:rsid w:val="00625908"/>
    <w:rsid w:val="00625EFA"/>
    <w:rsid w:val="00626940"/>
    <w:rsid w:val="006270C4"/>
    <w:rsid w:val="0062791B"/>
    <w:rsid w:val="00627981"/>
    <w:rsid w:val="00627FCF"/>
    <w:rsid w:val="00630122"/>
    <w:rsid w:val="006304F6"/>
    <w:rsid w:val="00630584"/>
    <w:rsid w:val="0063097A"/>
    <w:rsid w:val="00630A5F"/>
    <w:rsid w:val="00630A6B"/>
    <w:rsid w:val="00630F86"/>
    <w:rsid w:val="00631117"/>
    <w:rsid w:val="006312A8"/>
    <w:rsid w:val="0063151D"/>
    <w:rsid w:val="00631539"/>
    <w:rsid w:val="0063157B"/>
    <w:rsid w:val="00631A17"/>
    <w:rsid w:val="00631BE3"/>
    <w:rsid w:val="00631E30"/>
    <w:rsid w:val="00631EEF"/>
    <w:rsid w:val="006320CD"/>
    <w:rsid w:val="006324AD"/>
    <w:rsid w:val="00632566"/>
    <w:rsid w:val="006325BB"/>
    <w:rsid w:val="006326C5"/>
    <w:rsid w:val="00632D76"/>
    <w:rsid w:val="0063357A"/>
    <w:rsid w:val="00633C87"/>
    <w:rsid w:val="00633CE6"/>
    <w:rsid w:val="00633FB5"/>
    <w:rsid w:val="0063401F"/>
    <w:rsid w:val="00634270"/>
    <w:rsid w:val="006342C5"/>
    <w:rsid w:val="00634AAD"/>
    <w:rsid w:val="00634C10"/>
    <w:rsid w:val="00634C49"/>
    <w:rsid w:val="00634D5E"/>
    <w:rsid w:val="00635151"/>
    <w:rsid w:val="00635477"/>
    <w:rsid w:val="00635B37"/>
    <w:rsid w:val="00635B43"/>
    <w:rsid w:val="00635F9A"/>
    <w:rsid w:val="00635FA9"/>
    <w:rsid w:val="00636581"/>
    <w:rsid w:val="006366E1"/>
    <w:rsid w:val="006366F4"/>
    <w:rsid w:val="00636B9D"/>
    <w:rsid w:val="00636C28"/>
    <w:rsid w:val="00636F51"/>
    <w:rsid w:val="0063723F"/>
    <w:rsid w:val="0063761E"/>
    <w:rsid w:val="0063781F"/>
    <w:rsid w:val="00637B38"/>
    <w:rsid w:val="00637CE2"/>
    <w:rsid w:val="00637E39"/>
    <w:rsid w:val="00637F4A"/>
    <w:rsid w:val="00637FC2"/>
    <w:rsid w:val="00637FD2"/>
    <w:rsid w:val="00640093"/>
    <w:rsid w:val="0064021A"/>
    <w:rsid w:val="0064096A"/>
    <w:rsid w:val="0064126D"/>
    <w:rsid w:val="0064132A"/>
    <w:rsid w:val="00641517"/>
    <w:rsid w:val="00641667"/>
    <w:rsid w:val="00641765"/>
    <w:rsid w:val="00641B56"/>
    <w:rsid w:val="00641F11"/>
    <w:rsid w:val="0064220F"/>
    <w:rsid w:val="0064276F"/>
    <w:rsid w:val="00642964"/>
    <w:rsid w:val="00642A2F"/>
    <w:rsid w:val="00642CA2"/>
    <w:rsid w:val="006435F9"/>
    <w:rsid w:val="00643AEF"/>
    <w:rsid w:val="00643CAE"/>
    <w:rsid w:val="00643D23"/>
    <w:rsid w:val="00643D35"/>
    <w:rsid w:val="006448C2"/>
    <w:rsid w:val="00644A8A"/>
    <w:rsid w:val="00644D1C"/>
    <w:rsid w:val="00644DF6"/>
    <w:rsid w:val="0064520B"/>
    <w:rsid w:val="00645574"/>
    <w:rsid w:val="00645984"/>
    <w:rsid w:val="00645BB0"/>
    <w:rsid w:val="00645C0D"/>
    <w:rsid w:val="00645CAD"/>
    <w:rsid w:val="00646133"/>
    <w:rsid w:val="006466E9"/>
    <w:rsid w:val="006467A5"/>
    <w:rsid w:val="00646834"/>
    <w:rsid w:val="0064698D"/>
    <w:rsid w:val="006469C1"/>
    <w:rsid w:val="00646AA2"/>
    <w:rsid w:val="00646C8E"/>
    <w:rsid w:val="00646CFB"/>
    <w:rsid w:val="00646E63"/>
    <w:rsid w:val="00646FF5"/>
    <w:rsid w:val="0064700A"/>
    <w:rsid w:val="006470E7"/>
    <w:rsid w:val="00647156"/>
    <w:rsid w:val="0064745D"/>
    <w:rsid w:val="006474BE"/>
    <w:rsid w:val="006477B3"/>
    <w:rsid w:val="006478E8"/>
    <w:rsid w:val="00647905"/>
    <w:rsid w:val="006479CA"/>
    <w:rsid w:val="00647D71"/>
    <w:rsid w:val="00647E4A"/>
    <w:rsid w:val="00647E5E"/>
    <w:rsid w:val="00650066"/>
    <w:rsid w:val="0065017C"/>
    <w:rsid w:val="0065018F"/>
    <w:rsid w:val="006502F9"/>
    <w:rsid w:val="00650759"/>
    <w:rsid w:val="006507E6"/>
    <w:rsid w:val="006510C6"/>
    <w:rsid w:val="0065141C"/>
    <w:rsid w:val="0065153C"/>
    <w:rsid w:val="00651E90"/>
    <w:rsid w:val="00652054"/>
    <w:rsid w:val="006520D9"/>
    <w:rsid w:val="006529C3"/>
    <w:rsid w:val="00652A08"/>
    <w:rsid w:val="00652E83"/>
    <w:rsid w:val="00653FDD"/>
    <w:rsid w:val="00654320"/>
    <w:rsid w:val="0065436C"/>
    <w:rsid w:val="00654709"/>
    <w:rsid w:val="006547DA"/>
    <w:rsid w:val="00654B8A"/>
    <w:rsid w:val="00654C49"/>
    <w:rsid w:val="00654D33"/>
    <w:rsid w:val="00654EA1"/>
    <w:rsid w:val="0065527E"/>
    <w:rsid w:val="006552E9"/>
    <w:rsid w:val="006553C9"/>
    <w:rsid w:val="006553CD"/>
    <w:rsid w:val="00655666"/>
    <w:rsid w:val="006556A9"/>
    <w:rsid w:val="0065589D"/>
    <w:rsid w:val="00655B73"/>
    <w:rsid w:val="00655D4C"/>
    <w:rsid w:val="006563A8"/>
    <w:rsid w:val="006563E9"/>
    <w:rsid w:val="00656420"/>
    <w:rsid w:val="006565D9"/>
    <w:rsid w:val="00656F3D"/>
    <w:rsid w:val="0065722D"/>
    <w:rsid w:val="0065760E"/>
    <w:rsid w:val="006578DB"/>
    <w:rsid w:val="00657DE1"/>
    <w:rsid w:val="00660308"/>
    <w:rsid w:val="00660397"/>
    <w:rsid w:val="006603E0"/>
    <w:rsid w:val="0066042F"/>
    <w:rsid w:val="00660445"/>
    <w:rsid w:val="00660568"/>
    <w:rsid w:val="0066071A"/>
    <w:rsid w:val="006608AA"/>
    <w:rsid w:val="00660948"/>
    <w:rsid w:val="00660B2F"/>
    <w:rsid w:val="006610C9"/>
    <w:rsid w:val="00661193"/>
    <w:rsid w:val="0066131F"/>
    <w:rsid w:val="0066134D"/>
    <w:rsid w:val="00661B41"/>
    <w:rsid w:val="00661BF9"/>
    <w:rsid w:val="00661DD5"/>
    <w:rsid w:val="00662019"/>
    <w:rsid w:val="00662077"/>
    <w:rsid w:val="0066255C"/>
    <w:rsid w:val="00662583"/>
    <w:rsid w:val="00662C9C"/>
    <w:rsid w:val="00662E8F"/>
    <w:rsid w:val="00663030"/>
    <w:rsid w:val="0066351A"/>
    <w:rsid w:val="006639D3"/>
    <w:rsid w:val="00664071"/>
    <w:rsid w:val="006640FF"/>
    <w:rsid w:val="006641C3"/>
    <w:rsid w:val="0066474D"/>
    <w:rsid w:val="00664802"/>
    <w:rsid w:val="006649AB"/>
    <w:rsid w:val="00664ABB"/>
    <w:rsid w:val="0066501B"/>
    <w:rsid w:val="00665038"/>
    <w:rsid w:val="00665402"/>
    <w:rsid w:val="00665E3C"/>
    <w:rsid w:val="00665FAB"/>
    <w:rsid w:val="0066614F"/>
    <w:rsid w:val="006666A9"/>
    <w:rsid w:val="00666735"/>
    <w:rsid w:val="00666A6F"/>
    <w:rsid w:val="00666ED7"/>
    <w:rsid w:val="006671D0"/>
    <w:rsid w:val="00667423"/>
    <w:rsid w:val="0066754D"/>
    <w:rsid w:val="00667EB3"/>
    <w:rsid w:val="0067007F"/>
    <w:rsid w:val="00670508"/>
    <w:rsid w:val="006706F2"/>
    <w:rsid w:val="006709DA"/>
    <w:rsid w:val="0067108B"/>
    <w:rsid w:val="00671382"/>
    <w:rsid w:val="006713CE"/>
    <w:rsid w:val="006715B6"/>
    <w:rsid w:val="006717D2"/>
    <w:rsid w:val="006717F2"/>
    <w:rsid w:val="006719E9"/>
    <w:rsid w:val="00671C2A"/>
    <w:rsid w:val="00671D80"/>
    <w:rsid w:val="00671F56"/>
    <w:rsid w:val="0067236E"/>
    <w:rsid w:val="006726F4"/>
    <w:rsid w:val="006729E4"/>
    <w:rsid w:val="00672A56"/>
    <w:rsid w:val="006731D9"/>
    <w:rsid w:val="006732E1"/>
    <w:rsid w:val="00673549"/>
    <w:rsid w:val="00673760"/>
    <w:rsid w:val="006737F3"/>
    <w:rsid w:val="00673876"/>
    <w:rsid w:val="0067485B"/>
    <w:rsid w:val="006748E3"/>
    <w:rsid w:val="00674E06"/>
    <w:rsid w:val="00674E87"/>
    <w:rsid w:val="0067546A"/>
    <w:rsid w:val="006754AC"/>
    <w:rsid w:val="00675523"/>
    <w:rsid w:val="00675675"/>
    <w:rsid w:val="00675954"/>
    <w:rsid w:val="00675A3D"/>
    <w:rsid w:val="00675B30"/>
    <w:rsid w:val="00675F8E"/>
    <w:rsid w:val="006761B0"/>
    <w:rsid w:val="0067633E"/>
    <w:rsid w:val="0067641D"/>
    <w:rsid w:val="00676667"/>
    <w:rsid w:val="00676CFA"/>
    <w:rsid w:val="006773DD"/>
    <w:rsid w:val="00677788"/>
    <w:rsid w:val="00677890"/>
    <w:rsid w:val="00680111"/>
    <w:rsid w:val="006801A1"/>
    <w:rsid w:val="0068082B"/>
    <w:rsid w:val="0068091A"/>
    <w:rsid w:val="00680B44"/>
    <w:rsid w:val="00680C54"/>
    <w:rsid w:val="00680D13"/>
    <w:rsid w:val="00680F95"/>
    <w:rsid w:val="00681095"/>
    <w:rsid w:val="00681187"/>
    <w:rsid w:val="00681563"/>
    <w:rsid w:val="006821F4"/>
    <w:rsid w:val="006822C1"/>
    <w:rsid w:val="00682724"/>
    <w:rsid w:val="006828A2"/>
    <w:rsid w:val="00682A6D"/>
    <w:rsid w:val="006833A7"/>
    <w:rsid w:val="00683632"/>
    <w:rsid w:val="00683642"/>
    <w:rsid w:val="006838A9"/>
    <w:rsid w:val="00683F4A"/>
    <w:rsid w:val="00684132"/>
    <w:rsid w:val="0068438B"/>
    <w:rsid w:val="00684805"/>
    <w:rsid w:val="00684829"/>
    <w:rsid w:val="006849E8"/>
    <w:rsid w:val="00684CA4"/>
    <w:rsid w:val="00684DD0"/>
    <w:rsid w:val="006850EE"/>
    <w:rsid w:val="006853EF"/>
    <w:rsid w:val="00685779"/>
    <w:rsid w:val="00685AE3"/>
    <w:rsid w:val="00685C19"/>
    <w:rsid w:val="00686234"/>
    <w:rsid w:val="00686939"/>
    <w:rsid w:val="00686BD0"/>
    <w:rsid w:val="00687558"/>
    <w:rsid w:val="00687A02"/>
    <w:rsid w:val="00687BDC"/>
    <w:rsid w:val="00687BED"/>
    <w:rsid w:val="0069018F"/>
    <w:rsid w:val="006901EF"/>
    <w:rsid w:val="00690280"/>
    <w:rsid w:val="00690581"/>
    <w:rsid w:val="0069087D"/>
    <w:rsid w:val="00690B50"/>
    <w:rsid w:val="00690D13"/>
    <w:rsid w:val="00690DC0"/>
    <w:rsid w:val="00691044"/>
    <w:rsid w:val="006916D2"/>
    <w:rsid w:val="006916E4"/>
    <w:rsid w:val="00691C53"/>
    <w:rsid w:val="00692337"/>
    <w:rsid w:val="006929EB"/>
    <w:rsid w:val="00692C29"/>
    <w:rsid w:val="00692C83"/>
    <w:rsid w:val="00692EC0"/>
    <w:rsid w:val="00692F6A"/>
    <w:rsid w:val="0069349D"/>
    <w:rsid w:val="00693752"/>
    <w:rsid w:val="006937A5"/>
    <w:rsid w:val="0069390D"/>
    <w:rsid w:val="006939D9"/>
    <w:rsid w:val="00693B32"/>
    <w:rsid w:val="00693D26"/>
    <w:rsid w:val="00693E83"/>
    <w:rsid w:val="00693F62"/>
    <w:rsid w:val="00694514"/>
    <w:rsid w:val="00694732"/>
    <w:rsid w:val="00694CEE"/>
    <w:rsid w:val="006953AC"/>
    <w:rsid w:val="006959E2"/>
    <w:rsid w:val="00695BA6"/>
    <w:rsid w:val="0069602B"/>
    <w:rsid w:val="0069618F"/>
    <w:rsid w:val="006969BE"/>
    <w:rsid w:val="006969C7"/>
    <w:rsid w:val="00696C61"/>
    <w:rsid w:val="00696CD4"/>
    <w:rsid w:val="00696D85"/>
    <w:rsid w:val="00697455"/>
    <w:rsid w:val="006974D0"/>
    <w:rsid w:val="006977ED"/>
    <w:rsid w:val="00697DF0"/>
    <w:rsid w:val="006A0103"/>
    <w:rsid w:val="006A06A5"/>
    <w:rsid w:val="006A0B42"/>
    <w:rsid w:val="006A0E87"/>
    <w:rsid w:val="006A0F02"/>
    <w:rsid w:val="006A1233"/>
    <w:rsid w:val="006A16C4"/>
    <w:rsid w:val="006A1AA9"/>
    <w:rsid w:val="006A1BE6"/>
    <w:rsid w:val="006A1DFF"/>
    <w:rsid w:val="006A1E0A"/>
    <w:rsid w:val="006A20F8"/>
    <w:rsid w:val="006A2454"/>
    <w:rsid w:val="006A2722"/>
    <w:rsid w:val="006A29C5"/>
    <w:rsid w:val="006A2AFC"/>
    <w:rsid w:val="006A2B08"/>
    <w:rsid w:val="006A2C73"/>
    <w:rsid w:val="006A2CFF"/>
    <w:rsid w:val="006A2D5F"/>
    <w:rsid w:val="006A3440"/>
    <w:rsid w:val="006A38D7"/>
    <w:rsid w:val="006A3D67"/>
    <w:rsid w:val="006A45A1"/>
    <w:rsid w:val="006A4CD0"/>
    <w:rsid w:val="006A4D3B"/>
    <w:rsid w:val="006A4F2F"/>
    <w:rsid w:val="006A50AB"/>
    <w:rsid w:val="006A529C"/>
    <w:rsid w:val="006A5327"/>
    <w:rsid w:val="006A53F9"/>
    <w:rsid w:val="006A57DB"/>
    <w:rsid w:val="006A580B"/>
    <w:rsid w:val="006A5CEA"/>
    <w:rsid w:val="006A5F9B"/>
    <w:rsid w:val="006A6B0D"/>
    <w:rsid w:val="006A70FD"/>
    <w:rsid w:val="006A71F2"/>
    <w:rsid w:val="006A7797"/>
    <w:rsid w:val="006A7B96"/>
    <w:rsid w:val="006A7C8F"/>
    <w:rsid w:val="006A7FA7"/>
    <w:rsid w:val="006B0178"/>
    <w:rsid w:val="006B01D0"/>
    <w:rsid w:val="006B020C"/>
    <w:rsid w:val="006B076B"/>
    <w:rsid w:val="006B0CDB"/>
    <w:rsid w:val="006B0DA1"/>
    <w:rsid w:val="006B2A22"/>
    <w:rsid w:val="006B2B13"/>
    <w:rsid w:val="006B311D"/>
    <w:rsid w:val="006B3169"/>
    <w:rsid w:val="006B35DA"/>
    <w:rsid w:val="006B3C5E"/>
    <w:rsid w:val="006B40A1"/>
    <w:rsid w:val="006B4388"/>
    <w:rsid w:val="006B44D2"/>
    <w:rsid w:val="006B46EC"/>
    <w:rsid w:val="006B480F"/>
    <w:rsid w:val="006B4893"/>
    <w:rsid w:val="006B4E6B"/>
    <w:rsid w:val="006B5CEB"/>
    <w:rsid w:val="006B66A8"/>
    <w:rsid w:val="006B695D"/>
    <w:rsid w:val="006B6974"/>
    <w:rsid w:val="006B6DAA"/>
    <w:rsid w:val="006B6DE9"/>
    <w:rsid w:val="006B75FC"/>
    <w:rsid w:val="006B7B00"/>
    <w:rsid w:val="006B7BF8"/>
    <w:rsid w:val="006C025C"/>
    <w:rsid w:val="006C0951"/>
    <w:rsid w:val="006C09F5"/>
    <w:rsid w:val="006C0A9B"/>
    <w:rsid w:val="006C138E"/>
    <w:rsid w:val="006C13EC"/>
    <w:rsid w:val="006C1498"/>
    <w:rsid w:val="006C1761"/>
    <w:rsid w:val="006C19E1"/>
    <w:rsid w:val="006C1F19"/>
    <w:rsid w:val="006C20BC"/>
    <w:rsid w:val="006C211B"/>
    <w:rsid w:val="006C2173"/>
    <w:rsid w:val="006C28BE"/>
    <w:rsid w:val="006C2E83"/>
    <w:rsid w:val="006C315F"/>
    <w:rsid w:val="006C3273"/>
    <w:rsid w:val="006C3504"/>
    <w:rsid w:val="006C3558"/>
    <w:rsid w:val="006C35BB"/>
    <w:rsid w:val="006C37AF"/>
    <w:rsid w:val="006C3AA0"/>
    <w:rsid w:val="006C3B1D"/>
    <w:rsid w:val="006C3D72"/>
    <w:rsid w:val="006C412F"/>
    <w:rsid w:val="006C4698"/>
    <w:rsid w:val="006C4910"/>
    <w:rsid w:val="006C4B3B"/>
    <w:rsid w:val="006C4BD7"/>
    <w:rsid w:val="006C4CB0"/>
    <w:rsid w:val="006C55B0"/>
    <w:rsid w:val="006C5931"/>
    <w:rsid w:val="006C5B6E"/>
    <w:rsid w:val="006C5B72"/>
    <w:rsid w:val="006C5CFC"/>
    <w:rsid w:val="006C6633"/>
    <w:rsid w:val="006C69FC"/>
    <w:rsid w:val="006C79DF"/>
    <w:rsid w:val="006D05D8"/>
    <w:rsid w:val="006D1096"/>
    <w:rsid w:val="006D1526"/>
    <w:rsid w:val="006D17F8"/>
    <w:rsid w:val="006D1A3D"/>
    <w:rsid w:val="006D1B34"/>
    <w:rsid w:val="006D1E4F"/>
    <w:rsid w:val="006D23F7"/>
    <w:rsid w:val="006D2866"/>
    <w:rsid w:val="006D2D22"/>
    <w:rsid w:val="006D337E"/>
    <w:rsid w:val="006D3C78"/>
    <w:rsid w:val="006D3CDC"/>
    <w:rsid w:val="006D4027"/>
    <w:rsid w:val="006D4387"/>
    <w:rsid w:val="006D49D3"/>
    <w:rsid w:val="006D5027"/>
    <w:rsid w:val="006D5200"/>
    <w:rsid w:val="006D53C4"/>
    <w:rsid w:val="006D5709"/>
    <w:rsid w:val="006D5897"/>
    <w:rsid w:val="006D5FAE"/>
    <w:rsid w:val="006D634F"/>
    <w:rsid w:val="006D64AE"/>
    <w:rsid w:val="006D670D"/>
    <w:rsid w:val="006D67C4"/>
    <w:rsid w:val="006D67D9"/>
    <w:rsid w:val="006D6832"/>
    <w:rsid w:val="006D6AA5"/>
    <w:rsid w:val="006D7831"/>
    <w:rsid w:val="006D7B2A"/>
    <w:rsid w:val="006D7DC5"/>
    <w:rsid w:val="006D7E39"/>
    <w:rsid w:val="006E026E"/>
    <w:rsid w:val="006E037A"/>
    <w:rsid w:val="006E0A1B"/>
    <w:rsid w:val="006E0BC1"/>
    <w:rsid w:val="006E0C39"/>
    <w:rsid w:val="006E0CEA"/>
    <w:rsid w:val="006E1794"/>
    <w:rsid w:val="006E17EC"/>
    <w:rsid w:val="006E18DF"/>
    <w:rsid w:val="006E1902"/>
    <w:rsid w:val="006E1961"/>
    <w:rsid w:val="006E1A56"/>
    <w:rsid w:val="006E1B57"/>
    <w:rsid w:val="006E1FA0"/>
    <w:rsid w:val="006E1FAC"/>
    <w:rsid w:val="006E1FE0"/>
    <w:rsid w:val="006E1FF5"/>
    <w:rsid w:val="006E22CB"/>
    <w:rsid w:val="006E25DA"/>
    <w:rsid w:val="006E2669"/>
    <w:rsid w:val="006E296F"/>
    <w:rsid w:val="006E2A05"/>
    <w:rsid w:val="006E2E52"/>
    <w:rsid w:val="006E3211"/>
    <w:rsid w:val="006E3221"/>
    <w:rsid w:val="006E39BF"/>
    <w:rsid w:val="006E3F85"/>
    <w:rsid w:val="006E41BB"/>
    <w:rsid w:val="006E42EB"/>
    <w:rsid w:val="006E43D1"/>
    <w:rsid w:val="006E4791"/>
    <w:rsid w:val="006E48E7"/>
    <w:rsid w:val="006E4AC0"/>
    <w:rsid w:val="006E4D19"/>
    <w:rsid w:val="006E517E"/>
    <w:rsid w:val="006E5324"/>
    <w:rsid w:val="006E59F3"/>
    <w:rsid w:val="006E5AE4"/>
    <w:rsid w:val="006E5B08"/>
    <w:rsid w:val="006E5C34"/>
    <w:rsid w:val="006E5C36"/>
    <w:rsid w:val="006E5FCE"/>
    <w:rsid w:val="006E6461"/>
    <w:rsid w:val="006E657C"/>
    <w:rsid w:val="006E66CC"/>
    <w:rsid w:val="006E696C"/>
    <w:rsid w:val="006E6C97"/>
    <w:rsid w:val="006E6E95"/>
    <w:rsid w:val="006E6ED4"/>
    <w:rsid w:val="006E7031"/>
    <w:rsid w:val="006E705B"/>
    <w:rsid w:val="006E746C"/>
    <w:rsid w:val="006E7963"/>
    <w:rsid w:val="006E7AA7"/>
    <w:rsid w:val="006E7B81"/>
    <w:rsid w:val="006E7C9A"/>
    <w:rsid w:val="006F0290"/>
    <w:rsid w:val="006F0C62"/>
    <w:rsid w:val="006F0C8A"/>
    <w:rsid w:val="006F0D66"/>
    <w:rsid w:val="006F161F"/>
    <w:rsid w:val="006F1983"/>
    <w:rsid w:val="006F1E41"/>
    <w:rsid w:val="006F2042"/>
    <w:rsid w:val="006F2329"/>
    <w:rsid w:val="006F2666"/>
    <w:rsid w:val="006F27E2"/>
    <w:rsid w:val="006F2DCC"/>
    <w:rsid w:val="006F2F66"/>
    <w:rsid w:val="006F321E"/>
    <w:rsid w:val="006F35C2"/>
    <w:rsid w:val="006F3894"/>
    <w:rsid w:val="006F38C9"/>
    <w:rsid w:val="006F396B"/>
    <w:rsid w:val="006F3DEF"/>
    <w:rsid w:val="006F3E33"/>
    <w:rsid w:val="006F4EA9"/>
    <w:rsid w:val="006F53E9"/>
    <w:rsid w:val="006F5B03"/>
    <w:rsid w:val="006F5D31"/>
    <w:rsid w:val="006F5E35"/>
    <w:rsid w:val="006F5F98"/>
    <w:rsid w:val="006F63B0"/>
    <w:rsid w:val="006F65ED"/>
    <w:rsid w:val="006F6627"/>
    <w:rsid w:val="006F6657"/>
    <w:rsid w:val="006F68C4"/>
    <w:rsid w:val="006F69E4"/>
    <w:rsid w:val="006F6A89"/>
    <w:rsid w:val="006F6AFB"/>
    <w:rsid w:val="006F6B8F"/>
    <w:rsid w:val="006F6C61"/>
    <w:rsid w:val="006F6E12"/>
    <w:rsid w:val="006F6EF3"/>
    <w:rsid w:val="006F706A"/>
    <w:rsid w:val="006F7159"/>
    <w:rsid w:val="006F715B"/>
    <w:rsid w:val="006F7E96"/>
    <w:rsid w:val="006F7F1E"/>
    <w:rsid w:val="00700BB3"/>
    <w:rsid w:val="007012DE"/>
    <w:rsid w:val="00701366"/>
    <w:rsid w:val="00701543"/>
    <w:rsid w:val="00701740"/>
    <w:rsid w:val="00701779"/>
    <w:rsid w:val="00701B57"/>
    <w:rsid w:val="00701D5D"/>
    <w:rsid w:val="00702042"/>
    <w:rsid w:val="007020EC"/>
    <w:rsid w:val="007024A0"/>
    <w:rsid w:val="007026E1"/>
    <w:rsid w:val="00702B8F"/>
    <w:rsid w:val="00702C58"/>
    <w:rsid w:val="00703005"/>
    <w:rsid w:val="00703179"/>
    <w:rsid w:val="00703407"/>
    <w:rsid w:val="00703831"/>
    <w:rsid w:val="00703B90"/>
    <w:rsid w:val="00703E01"/>
    <w:rsid w:val="00704121"/>
    <w:rsid w:val="00704373"/>
    <w:rsid w:val="00704F51"/>
    <w:rsid w:val="0070517E"/>
    <w:rsid w:val="007054A0"/>
    <w:rsid w:val="007054AD"/>
    <w:rsid w:val="0070570A"/>
    <w:rsid w:val="0070586D"/>
    <w:rsid w:val="0070599B"/>
    <w:rsid w:val="00705C54"/>
    <w:rsid w:val="00705DAF"/>
    <w:rsid w:val="00705ECA"/>
    <w:rsid w:val="007063AA"/>
    <w:rsid w:val="0070657D"/>
    <w:rsid w:val="0070659D"/>
    <w:rsid w:val="007069A0"/>
    <w:rsid w:val="00706F37"/>
    <w:rsid w:val="007072BE"/>
    <w:rsid w:val="007075CC"/>
    <w:rsid w:val="0070760F"/>
    <w:rsid w:val="007076F7"/>
    <w:rsid w:val="00707FA9"/>
    <w:rsid w:val="00710138"/>
    <w:rsid w:val="0071023F"/>
    <w:rsid w:val="007102AE"/>
    <w:rsid w:val="007105C8"/>
    <w:rsid w:val="0071091C"/>
    <w:rsid w:val="00710C72"/>
    <w:rsid w:val="00710ECA"/>
    <w:rsid w:val="0071113C"/>
    <w:rsid w:val="007112E8"/>
    <w:rsid w:val="00711324"/>
    <w:rsid w:val="007115FD"/>
    <w:rsid w:val="00711686"/>
    <w:rsid w:val="00711CC7"/>
    <w:rsid w:val="00711CCD"/>
    <w:rsid w:val="00711DFE"/>
    <w:rsid w:val="00712000"/>
    <w:rsid w:val="007127BD"/>
    <w:rsid w:val="00712FF0"/>
    <w:rsid w:val="007130D9"/>
    <w:rsid w:val="007131C6"/>
    <w:rsid w:val="007132B9"/>
    <w:rsid w:val="00713463"/>
    <w:rsid w:val="007134C6"/>
    <w:rsid w:val="00713584"/>
    <w:rsid w:val="00713690"/>
    <w:rsid w:val="0071398C"/>
    <w:rsid w:val="00713BBE"/>
    <w:rsid w:val="00713D61"/>
    <w:rsid w:val="00714668"/>
    <w:rsid w:val="00714CB6"/>
    <w:rsid w:val="00714EA5"/>
    <w:rsid w:val="00715115"/>
    <w:rsid w:val="00715161"/>
    <w:rsid w:val="00715212"/>
    <w:rsid w:val="0071542D"/>
    <w:rsid w:val="00715678"/>
    <w:rsid w:val="00715F11"/>
    <w:rsid w:val="007162E7"/>
    <w:rsid w:val="00716517"/>
    <w:rsid w:val="00716645"/>
    <w:rsid w:val="0071689E"/>
    <w:rsid w:val="00716B19"/>
    <w:rsid w:val="0071770D"/>
    <w:rsid w:val="00717BD1"/>
    <w:rsid w:val="00717E00"/>
    <w:rsid w:val="00720409"/>
    <w:rsid w:val="007205B6"/>
    <w:rsid w:val="0072076A"/>
    <w:rsid w:val="00720782"/>
    <w:rsid w:val="007207F3"/>
    <w:rsid w:val="00720CDD"/>
    <w:rsid w:val="00720D15"/>
    <w:rsid w:val="00720E7A"/>
    <w:rsid w:val="007214F2"/>
    <w:rsid w:val="007216EE"/>
    <w:rsid w:val="007218E9"/>
    <w:rsid w:val="0072198C"/>
    <w:rsid w:val="007220E6"/>
    <w:rsid w:val="007224C8"/>
    <w:rsid w:val="00722D07"/>
    <w:rsid w:val="00722D43"/>
    <w:rsid w:val="00722F15"/>
    <w:rsid w:val="0072302A"/>
    <w:rsid w:val="007231B4"/>
    <w:rsid w:val="00723359"/>
    <w:rsid w:val="0072370D"/>
    <w:rsid w:val="0072380F"/>
    <w:rsid w:val="00723994"/>
    <w:rsid w:val="00723D06"/>
    <w:rsid w:val="00723D0E"/>
    <w:rsid w:val="0072404D"/>
    <w:rsid w:val="007242B7"/>
    <w:rsid w:val="00724386"/>
    <w:rsid w:val="00724387"/>
    <w:rsid w:val="007245D6"/>
    <w:rsid w:val="00724694"/>
    <w:rsid w:val="00724AB2"/>
    <w:rsid w:val="00724EFF"/>
    <w:rsid w:val="00725040"/>
    <w:rsid w:val="00725089"/>
    <w:rsid w:val="00725142"/>
    <w:rsid w:val="0072539F"/>
    <w:rsid w:val="00725687"/>
    <w:rsid w:val="00725849"/>
    <w:rsid w:val="00725C07"/>
    <w:rsid w:val="00725DD4"/>
    <w:rsid w:val="00725F9B"/>
    <w:rsid w:val="00726022"/>
    <w:rsid w:val="007260F2"/>
    <w:rsid w:val="00726171"/>
    <w:rsid w:val="007261AA"/>
    <w:rsid w:val="00726231"/>
    <w:rsid w:val="0072629F"/>
    <w:rsid w:val="00726438"/>
    <w:rsid w:val="007266EB"/>
    <w:rsid w:val="00726DCA"/>
    <w:rsid w:val="00726E8A"/>
    <w:rsid w:val="007271A5"/>
    <w:rsid w:val="00727566"/>
    <w:rsid w:val="007279E6"/>
    <w:rsid w:val="00727E61"/>
    <w:rsid w:val="00727ED4"/>
    <w:rsid w:val="0073033E"/>
    <w:rsid w:val="007304B3"/>
    <w:rsid w:val="00730750"/>
    <w:rsid w:val="007309DF"/>
    <w:rsid w:val="00730E99"/>
    <w:rsid w:val="00731043"/>
    <w:rsid w:val="007315D5"/>
    <w:rsid w:val="007316AE"/>
    <w:rsid w:val="007316C7"/>
    <w:rsid w:val="0073175D"/>
    <w:rsid w:val="00731A65"/>
    <w:rsid w:val="00731F4D"/>
    <w:rsid w:val="0073203F"/>
    <w:rsid w:val="0073240F"/>
    <w:rsid w:val="00732B31"/>
    <w:rsid w:val="00732E46"/>
    <w:rsid w:val="0073369A"/>
    <w:rsid w:val="007339E5"/>
    <w:rsid w:val="00734042"/>
    <w:rsid w:val="0073405E"/>
    <w:rsid w:val="00734187"/>
    <w:rsid w:val="0073469D"/>
    <w:rsid w:val="007348B7"/>
    <w:rsid w:val="00734A45"/>
    <w:rsid w:val="007357F0"/>
    <w:rsid w:val="0073581D"/>
    <w:rsid w:val="007358A2"/>
    <w:rsid w:val="00735A87"/>
    <w:rsid w:val="007364A1"/>
    <w:rsid w:val="007365AB"/>
    <w:rsid w:val="00736647"/>
    <w:rsid w:val="00736958"/>
    <w:rsid w:val="00736B91"/>
    <w:rsid w:val="00736C98"/>
    <w:rsid w:val="00736E80"/>
    <w:rsid w:val="007371FF"/>
    <w:rsid w:val="007372EC"/>
    <w:rsid w:val="00737305"/>
    <w:rsid w:val="00737504"/>
    <w:rsid w:val="007376EF"/>
    <w:rsid w:val="007379C8"/>
    <w:rsid w:val="00737B97"/>
    <w:rsid w:val="00737BAA"/>
    <w:rsid w:val="00737BD6"/>
    <w:rsid w:val="00737D9E"/>
    <w:rsid w:val="00740030"/>
    <w:rsid w:val="0074004C"/>
    <w:rsid w:val="0074022F"/>
    <w:rsid w:val="0074041B"/>
    <w:rsid w:val="0074098F"/>
    <w:rsid w:val="00740CA4"/>
    <w:rsid w:val="00740E8A"/>
    <w:rsid w:val="00741003"/>
    <w:rsid w:val="0074156C"/>
    <w:rsid w:val="007416C8"/>
    <w:rsid w:val="00741A2B"/>
    <w:rsid w:val="00741E55"/>
    <w:rsid w:val="00741E6E"/>
    <w:rsid w:val="00742004"/>
    <w:rsid w:val="00742124"/>
    <w:rsid w:val="00742BDE"/>
    <w:rsid w:val="00742C0C"/>
    <w:rsid w:val="00742DD5"/>
    <w:rsid w:val="0074301D"/>
    <w:rsid w:val="007436C1"/>
    <w:rsid w:val="007438FE"/>
    <w:rsid w:val="0074391E"/>
    <w:rsid w:val="00743960"/>
    <w:rsid w:val="00743F50"/>
    <w:rsid w:val="00743F64"/>
    <w:rsid w:val="007440E7"/>
    <w:rsid w:val="007446B6"/>
    <w:rsid w:val="007447E5"/>
    <w:rsid w:val="00744AE0"/>
    <w:rsid w:val="00744DE8"/>
    <w:rsid w:val="00745038"/>
    <w:rsid w:val="00745156"/>
    <w:rsid w:val="00745322"/>
    <w:rsid w:val="007457EE"/>
    <w:rsid w:val="00745921"/>
    <w:rsid w:val="00745A23"/>
    <w:rsid w:val="00745A4E"/>
    <w:rsid w:val="00745B6F"/>
    <w:rsid w:val="00745B7A"/>
    <w:rsid w:val="00746195"/>
    <w:rsid w:val="0074661F"/>
    <w:rsid w:val="00746803"/>
    <w:rsid w:val="00746D3B"/>
    <w:rsid w:val="00746DBF"/>
    <w:rsid w:val="007471AE"/>
    <w:rsid w:val="00747267"/>
    <w:rsid w:val="00747271"/>
    <w:rsid w:val="00747649"/>
    <w:rsid w:val="0074767A"/>
    <w:rsid w:val="00747917"/>
    <w:rsid w:val="00747F0C"/>
    <w:rsid w:val="0075001D"/>
    <w:rsid w:val="00750B8E"/>
    <w:rsid w:val="00750D33"/>
    <w:rsid w:val="007512C8"/>
    <w:rsid w:val="007514FB"/>
    <w:rsid w:val="00751CBF"/>
    <w:rsid w:val="0075222B"/>
    <w:rsid w:val="0075280B"/>
    <w:rsid w:val="007529D9"/>
    <w:rsid w:val="007532FF"/>
    <w:rsid w:val="00753563"/>
    <w:rsid w:val="00753F7C"/>
    <w:rsid w:val="007540CC"/>
    <w:rsid w:val="00754298"/>
    <w:rsid w:val="00754677"/>
    <w:rsid w:val="00755461"/>
    <w:rsid w:val="00755586"/>
    <w:rsid w:val="00755886"/>
    <w:rsid w:val="007559F1"/>
    <w:rsid w:val="00755BDC"/>
    <w:rsid w:val="00755F25"/>
    <w:rsid w:val="00755FDF"/>
    <w:rsid w:val="00756103"/>
    <w:rsid w:val="00756240"/>
    <w:rsid w:val="00756EFA"/>
    <w:rsid w:val="00756F9B"/>
    <w:rsid w:val="0075761D"/>
    <w:rsid w:val="00757937"/>
    <w:rsid w:val="00760046"/>
    <w:rsid w:val="0076019E"/>
    <w:rsid w:val="00760270"/>
    <w:rsid w:val="00760C6E"/>
    <w:rsid w:val="007612C8"/>
    <w:rsid w:val="0076130C"/>
    <w:rsid w:val="00761B63"/>
    <w:rsid w:val="007622F7"/>
    <w:rsid w:val="007627BE"/>
    <w:rsid w:val="0076298F"/>
    <w:rsid w:val="007634ED"/>
    <w:rsid w:val="007638EB"/>
    <w:rsid w:val="0076425B"/>
    <w:rsid w:val="007646CD"/>
    <w:rsid w:val="007647E4"/>
    <w:rsid w:val="0076493E"/>
    <w:rsid w:val="00764AF2"/>
    <w:rsid w:val="00764B70"/>
    <w:rsid w:val="00764B72"/>
    <w:rsid w:val="00765078"/>
    <w:rsid w:val="007650ED"/>
    <w:rsid w:val="0076529E"/>
    <w:rsid w:val="007655E9"/>
    <w:rsid w:val="0076583C"/>
    <w:rsid w:val="00765A69"/>
    <w:rsid w:val="00766B65"/>
    <w:rsid w:val="00766BAF"/>
    <w:rsid w:val="00766EBC"/>
    <w:rsid w:val="00766EE4"/>
    <w:rsid w:val="00767950"/>
    <w:rsid w:val="00767BD9"/>
    <w:rsid w:val="00767EBE"/>
    <w:rsid w:val="00767F5C"/>
    <w:rsid w:val="0077003A"/>
    <w:rsid w:val="00770245"/>
    <w:rsid w:val="0077049D"/>
    <w:rsid w:val="00771124"/>
    <w:rsid w:val="00771463"/>
    <w:rsid w:val="00771A07"/>
    <w:rsid w:val="007721FA"/>
    <w:rsid w:val="00772909"/>
    <w:rsid w:val="00772E0D"/>
    <w:rsid w:val="007732FE"/>
    <w:rsid w:val="0077359B"/>
    <w:rsid w:val="00773650"/>
    <w:rsid w:val="00773BBF"/>
    <w:rsid w:val="0077457F"/>
    <w:rsid w:val="007746F7"/>
    <w:rsid w:val="0077472B"/>
    <w:rsid w:val="007747A9"/>
    <w:rsid w:val="00774BAA"/>
    <w:rsid w:val="00774C2A"/>
    <w:rsid w:val="00774D74"/>
    <w:rsid w:val="00774D86"/>
    <w:rsid w:val="00775794"/>
    <w:rsid w:val="00775ACF"/>
    <w:rsid w:val="00775DC6"/>
    <w:rsid w:val="00775FB4"/>
    <w:rsid w:val="00776007"/>
    <w:rsid w:val="0077619A"/>
    <w:rsid w:val="00776B5E"/>
    <w:rsid w:val="00776C3D"/>
    <w:rsid w:val="00776C4F"/>
    <w:rsid w:val="00776C58"/>
    <w:rsid w:val="0077744D"/>
    <w:rsid w:val="00777B07"/>
    <w:rsid w:val="00777F83"/>
    <w:rsid w:val="00780465"/>
    <w:rsid w:val="00780A27"/>
    <w:rsid w:val="00780DAF"/>
    <w:rsid w:val="007810B0"/>
    <w:rsid w:val="0078117E"/>
    <w:rsid w:val="0078173A"/>
    <w:rsid w:val="00781AC4"/>
    <w:rsid w:val="00781FCE"/>
    <w:rsid w:val="00782531"/>
    <w:rsid w:val="007825B1"/>
    <w:rsid w:val="007829DB"/>
    <w:rsid w:val="00782AED"/>
    <w:rsid w:val="00782DE4"/>
    <w:rsid w:val="00782F6A"/>
    <w:rsid w:val="007830EE"/>
    <w:rsid w:val="007833EF"/>
    <w:rsid w:val="00783504"/>
    <w:rsid w:val="00783834"/>
    <w:rsid w:val="00783F81"/>
    <w:rsid w:val="0078484A"/>
    <w:rsid w:val="00784CCD"/>
    <w:rsid w:val="00784DA4"/>
    <w:rsid w:val="0078516D"/>
    <w:rsid w:val="00785171"/>
    <w:rsid w:val="007852F6"/>
    <w:rsid w:val="0078583E"/>
    <w:rsid w:val="00786320"/>
    <w:rsid w:val="00786900"/>
    <w:rsid w:val="00786BFD"/>
    <w:rsid w:val="00786C09"/>
    <w:rsid w:val="00787146"/>
    <w:rsid w:val="007873DF"/>
    <w:rsid w:val="007876B5"/>
    <w:rsid w:val="00787890"/>
    <w:rsid w:val="0078789C"/>
    <w:rsid w:val="00787937"/>
    <w:rsid w:val="00787CE2"/>
    <w:rsid w:val="00787F08"/>
    <w:rsid w:val="00790250"/>
    <w:rsid w:val="00790350"/>
    <w:rsid w:val="007908F1"/>
    <w:rsid w:val="00790A10"/>
    <w:rsid w:val="00790E9C"/>
    <w:rsid w:val="00791746"/>
    <w:rsid w:val="007918D2"/>
    <w:rsid w:val="007918E5"/>
    <w:rsid w:val="00791C31"/>
    <w:rsid w:val="00791EE1"/>
    <w:rsid w:val="0079211F"/>
    <w:rsid w:val="0079234B"/>
    <w:rsid w:val="00792384"/>
    <w:rsid w:val="007924E4"/>
    <w:rsid w:val="0079254E"/>
    <w:rsid w:val="00792977"/>
    <w:rsid w:val="007929E5"/>
    <w:rsid w:val="00792B34"/>
    <w:rsid w:val="00792B38"/>
    <w:rsid w:val="007936EE"/>
    <w:rsid w:val="007938EA"/>
    <w:rsid w:val="00793931"/>
    <w:rsid w:val="00793956"/>
    <w:rsid w:val="00794333"/>
    <w:rsid w:val="007946B2"/>
    <w:rsid w:val="007947BE"/>
    <w:rsid w:val="00794A2A"/>
    <w:rsid w:val="00795179"/>
    <w:rsid w:val="007959F7"/>
    <w:rsid w:val="00796006"/>
    <w:rsid w:val="007961C0"/>
    <w:rsid w:val="007969B9"/>
    <w:rsid w:val="00797174"/>
    <w:rsid w:val="007975FC"/>
    <w:rsid w:val="00797A20"/>
    <w:rsid w:val="00797A46"/>
    <w:rsid w:val="00797ACA"/>
    <w:rsid w:val="00797C9E"/>
    <w:rsid w:val="00797D5F"/>
    <w:rsid w:val="00797F86"/>
    <w:rsid w:val="007A00D5"/>
    <w:rsid w:val="007A0D51"/>
    <w:rsid w:val="007A0D98"/>
    <w:rsid w:val="007A0EE5"/>
    <w:rsid w:val="007A10A5"/>
    <w:rsid w:val="007A145E"/>
    <w:rsid w:val="007A1555"/>
    <w:rsid w:val="007A170D"/>
    <w:rsid w:val="007A1867"/>
    <w:rsid w:val="007A19E4"/>
    <w:rsid w:val="007A19E5"/>
    <w:rsid w:val="007A1BEA"/>
    <w:rsid w:val="007A1CD8"/>
    <w:rsid w:val="007A1F62"/>
    <w:rsid w:val="007A20F1"/>
    <w:rsid w:val="007A22C4"/>
    <w:rsid w:val="007A2513"/>
    <w:rsid w:val="007A2DA4"/>
    <w:rsid w:val="007A3083"/>
    <w:rsid w:val="007A3090"/>
    <w:rsid w:val="007A3391"/>
    <w:rsid w:val="007A3785"/>
    <w:rsid w:val="007A3B5F"/>
    <w:rsid w:val="007A3BC0"/>
    <w:rsid w:val="007A3C0A"/>
    <w:rsid w:val="007A406A"/>
    <w:rsid w:val="007A4088"/>
    <w:rsid w:val="007A43A3"/>
    <w:rsid w:val="007A4758"/>
    <w:rsid w:val="007A486B"/>
    <w:rsid w:val="007A4D6D"/>
    <w:rsid w:val="007A5112"/>
    <w:rsid w:val="007A5172"/>
    <w:rsid w:val="007A555F"/>
    <w:rsid w:val="007A57F7"/>
    <w:rsid w:val="007A6132"/>
    <w:rsid w:val="007A61E8"/>
    <w:rsid w:val="007A6486"/>
    <w:rsid w:val="007A663C"/>
    <w:rsid w:val="007A6680"/>
    <w:rsid w:val="007A699F"/>
    <w:rsid w:val="007A6B6E"/>
    <w:rsid w:val="007A6C2F"/>
    <w:rsid w:val="007A6D48"/>
    <w:rsid w:val="007A6FA7"/>
    <w:rsid w:val="007A75B3"/>
    <w:rsid w:val="007A7649"/>
    <w:rsid w:val="007A7B11"/>
    <w:rsid w:val="007A7B7F"/>
    <w:rsid w:val="007A7BB5"/>
    <w:rsid w:val="007A7D69"/>
    <w:rsid w:val="007B023A"/>
    <w:rsid w:val="007B040A"/>
    <w:rsid w:val="007B04BE"/>
    <w:rsid w:val="007B06D8"/>
    <w:rsid w:val="007B0EAF"/>
    <w:rsid w:val="007B11DF"/>
    <w:rsid w:val="007B130A"/>
    <w:rsid w:val="007B14B6"/>
    <w:rsid w:val="007B163A"/>
    <w:rsid w:val="007B1755"/>
    <w:rsid w:val="007B1B62"/>
    <w:rsid w:val="007B1E9B"/>
    <w:rsid w:val="007B1F50"/>
    <w:rsid w:val="007B1FF4"/>
    <w:rsid w:val="007B2030"/>
    <w:rsid w:val="007B2211"/>
    <w:rsid w:val="007B25FD"/>
    <w:rsid w:val="007B2B14"/>
    <w:rsid w:val="007B318E"/>
    <w:rsid w:val="007B3550"/>
    <w:rsid w:val="007B3732"/>
    <w:rsid w:val="007B39F4"/>
    <w:rsid w:val="007B3DFA"/>
    <w:rsid w:val="007B400C"/>
    <w:rsid w:val="007B40C5"/>
    <w:rsid w:val="007B4166"/>
    <w:rsid w:val="007B4341"/>
    <w:rsid w:val="007B4565"/>
    <w:rsid w:val="007B462C"/>
    <w:rsid w:val="007B46EC"/>
    <w:rsid w:val="007B4B63"/>
    <w:rsid w:val="007B52DA"/>
    <w:rsid w:val="007B54B3"/>
    <w:rsid w:val="007B55A9"/>
    <w:rsid w:val="007B5670"/>
    <w:rsid w:val="007B5D2A"/>
    <w:rsid w:val="007B6796"/>
    <w:rsid w:val="007B6980"/>
    <w:rsid w:val="007B69E6"/>
    <w:rsid w:val="007B6B00"/>
    <w:rsid w:val="007B6CDB"/>
    <w:rsid w:val="007B74C9"/>
    <w:rsid w:val="007B75FD"/>
    <w:rsid w:val="007B7755"/>
    <w:rsid w:val="007B77F3"/>
    <w:rsid w:val="007B7806"/>
    <w:rsid w:val="007B7A22"/>
    <w:rsid w:val="007C070F"/>
    <w:rsid w:val="007C078F"/>
    <w:rsid w:val="007C0A38"/>
    <w:rsid w:val="007C0B87"/>
    <w:rsid w:val="007C0C88"/>
    <w:rsid w:val="007C14A0"/>
    <w:rsid w:val="007C1B33"/>
    <w:rsid w:val="007C1D08"/>
    <w:rsid w:val="007C1DE1"/>
    <w:rsid w:val="007C1F8F"/>
    <w:rsid w:val="007C2210"/>
    <w:rsid w:val="007C2216"/>
    <w:rsid w:val="007C2226"/>
    <w:rsid w:val="007C2278"/>
    <w:rsid w:val="007C22E1"/>
    <w:rsid w:val="007C23A6"/>
    <w:rsid w:val="007C244A"/>
    <w:rsid w:val="007C26B3"/>
    <w:rsid w:val="007C26EE"/>
    <w:rsid w:val="007C2A48"/>
    <w:rsid w:val="007C2B0F"/>
    <w:rsid w:val="007C2BC0"/>
    <w:rsid w:val="007C2C0B"/>
    <w:rsid w:val="007C337B"/>
    <w:rsid w:val="007C38DB"/>
    <w:rsid w:val="007C3C2C"/>
    <w:rsid w:val="007C3D6C"/>
    <w:rsid w:val="007C3ED6"/>
    <w:rsid w:val="007C403F"/>
    <w:rsid w:val="007C4281"/>
    <w:rsid w:val="007C4377"/>
    <w:rsid w:val="007C43F3"/>
    <w:rsid w:val="007C4479"/>
    <w:rsid w:val="007C45C0"/>
    <w:rsid w:val="007C4762"/>
    <w:rsid w:val="007C4A8E"/>
    <w:rsid w:val="007C4B59"/>
    <w:rsid w:val="007C4B87"/>
    <w:rsid w:val="007C4BB7"/>
    <w:rsid w:val="007C4E41"/>
    <w:rsid w:val="007C5096"/>
    <w:rsid w:val="007C5441"/>
    <w:rsid w:val="007C561C"/>
    <w:rsid w:val="007C58AF"/>
    <w:rsid w:val="007C5E30"/>
    <w:rsid w:val="007C606C"/>
    <w:rsid w:val="007C6737"/>
    <w:rsid w:val="007C6808"/>
    <w:rsid w:val="007C6965"/>
    <w:rsid w:val="007C69E0"/>
    <w:rsid w:val="007C6B18"/>
    <w:rsid w:val="007C6F10"/>
    <w:rsid w:val="007C7339"/>
    <w:rsid w:val="007C74C1"/>
    <w:rsid w:val="007C7B97"/>
    <w:rsid w:val="007C7DB6"/>
    <w:rsid w:val="007D019B"/>
    <w:rsid w:val="007D020C"/>
    <w:rsid w:val="007D095E"/>
    <w:rsid w:val="007D09EE"/>
    <w:rsid w:val="007D0BC2"/>
    <w:rsid w:val="007D11B7"/>
    <w:rsid w:val="007D13AE"/>
    <w:rsid w:val="007D1786"/>
    <w:rsid w:val="007D18C4"/>
    <w:rsid w:val="007D1BB7"/>
    <w:rsid w:val="007D1C94"/>
    <w:rsid w:val="007D1D7B"/>
    <w:rsid w:val="007D1F19"/>
    <w:rsid w:val="007D2026"/>
    <w:rsid w:val="007D2088"/>
    <w:rsid w:val="007D21AE"/>
    <w:rsid w:val="007D28A1"/>
    <w:rsid w:val="007D2DA1"/>
    <w:rsid w:val="007D324F"/>
    <w:rsid w:val="007D346A"/>
    <w:rsid w:val="007D361C"/>
    <w:rsid w:val="007D3BBB"/>
    <w:rsid w:val="007D3C76"/>
    <w:rsid w:val="007D3C95"/>
    <w:rsid w:val="007D3E28"/>
    <w:rsid w:val="007D3EBA"/>
    <w:rsid w:val="007D4487"/>
    <w:rsid w:val="007D4537"/>
    <w:rsid w:val="007D4883"/>
    <w:rsid w:val="007D48AF"/>
    <w:rsid w:val="007D4B5D"/>
    <w:rsid w:val="007D4BBA"/>
    <w:rsid w:val="007D4BEC"/>
    <w:rsid w:val="007D4D84"/>
    <w:rsid w:val="007D4EAE"/>
    <w:rsid w:val="007D4F58"/>
    <w:rsid w:val="007D4FA0"/>
    <w:rsid w:val="007D4FF9"/>
    <w:rsid w:val="007D504B"/>
    <w:rsid w:val="007D57AB"/>
    <w:rsid w:val="007D5933"/>
    <w:rsid w:val="007D5CDB"/>
    <w:rsid w:val="007D63FC"/>
    <w:rsid w:val="007D6413"/>
    <w:rsid w:val="007D6454"/>
    <w:rsid w:val="007D6A69"/>
    <w:rsid w:val="007D6BF3"/>
    <w:rsid w:val="007D71A2"/>
    <w:rsid w:val="007D7B88"/>
    <w:rsid w:val="007E0201"/>
    <w:rsid w:val="007E0BB1"/>
    <w:rsid w:val="007E0D69"/>
    <w:rsid w:val="007E1089"/>
    <w:rsid w:val="007E11AD"/>
    <w:rsid w:val="007E130A"/>
    <w:rsid w:val="007E178F"/>
    <w:rsid w:val="007E1820"/>
    <w:rsid w:val="007E18B7"/>
    <w:rsid w:val="007E1A62"/>
    <w:rsid w:val="007E1BD9"/>
    <w:rsid w:val="007E2592"/>
    <w:rsid w:val="007E269F"/>
    <w:rsid w:val="007E2B2B"/>
    <w:rsid w:val="007E2D75"/>
    <w:rsid w:val="007E36AD"/>
    <w:rsid w:val="007E382B"/>
    <w:rsid w:val="007E3BC4"/>
    <w:rsid w:val="007E3CB3"/>
    <w:rsid w:val="007E401F"/>
    <w:rsid w:val="007E4094"/>
    <w:rsid w:val="007E4223"/>
    <w:rsid w:val="007E425F"/>
    <w:rsid w:val="007E4DF5"/>
    <w:rsid w:val="007E5564"/>
    <w:rsid w:val="007E569D"/>
    <w:rsid w:val="007E57FF"/>
    <w:rsid w:val="007E59CB"/>
    <w:rsid w:val="007E5A79"/>
    <w:rsid w:val="007E5AAA"/>
    <w:rsid w:val="007E60E3"/>
    <w:rsid w:val="007E6296"/>
    <w:rsid w:val="007E6F67"/>
    <w:rsid w:val="007E72C2"/>
    <w:rsid w:val="007E74BF"/>
    <w:rsid w:val="007E7FB3"/>
    <w:rsid w:val="007F05D1"/>
    <w:rsid w:val="007F0852"/>
    <w:rsid w:val="007F093B"/>
    <w:rsid w:val="007F0BCA"/>
    <w:rsid w:val="007F148F"/>
    <w:rsid w:val="007F1AA1"/>
    <w:rsid w:val="007F1CA7"/>
    <w:rsid w:val="007F1E87"/>
    <w:rsid w:val="007F220E"/>
    <w:rsid w:val="007F2496"/>
    <w:rsid w:val="007F25D0"/>
    <w:rsid w:val="007F26B8"/>
    <w:rsid w:val="007F26E8"/>
    <w:rsid w:val="007F2871"/>
    <w:rsid w:val="007F330A"/>
    <w:rsid w:val="007F3835"/>
    <w:rsid w:val="007F3841"/>
    <w:rsid w:val="007F3AED"/>
    <w:rsid w:val="007F4008"/>
    <w:rsid w:val="007F42C0"/>
    <w:rsid w:val="007F4345"/>
    <w:rsid w:val="007F43C1"/>
    <w:rsid w:val="007F443E"/>
    <w:rsid w:val="007F4512"/>
    <w:rsid w:val="007F45FC"/>
    <w:rsid w:val="007F4702"/>
    <w:rsid w:val="007F4D17"/>
    <w:rsid w:val="007F5349"/>
    <w:rsid w:val="007F561D"/>
    <w:rsid w:val="007F58D7"/>
    <w:rsid w:val="007F5B78"/>
    <w:rsid w:val="007F5D0B"/>
    <w:rsid w:val="007F5D63"/>
    <w:rsid w:val="007F5E3B"/>
    <w:rsid w:val="007F60E9"/>
    <w:rsid w:val="007F6125"/>
    <w:rsid w:val="007F62E3"/>
    <w:rsid w:val="007F6DCA"/>
    <w:rsid w:val="007F6ED7"/>
    <w:rsid w:val="007F7541"/>
    <w:rsid w:val="007F7B63"/>
    <w:rsid w:val="0080004F"/>
    <w:rsid w:val="00800113"/>
    <w:rsid w:val="008004D3"/>
    <w:rsid w:val="00800526"/>
    <w:rsid w:val="00800650"/>
    <w:rsid w:val="00800730"/>
    <w:rsid w:val="00800F1C"/>
    <w:rsid w:val="00800F2D"/>
    <w:rsid w:val="008012C5"/>
    <w:rsid w:val="008013BB"/>
    <w:rsid w:val="008013C1"/>
    <w:rsid w:val="0080141F"/>
    <w:rsid w:val="0080184F"/>
    <w:rsid w:val="00801981"/>
    <w:rsid w:val="00801F7F"/>
    <w:rsid w:val="008021BF"/>
    <w:rsid w:val="00802315"/>
    <w:rsid w:val="0080264C"/>
    <w:rsid w:val="008029B2"/>
    <w:rsid w:val="00802C48"/>
    <w:rsid w:val="008030B8"/>
    <w:rsid w:val="00803872"/>
    <w:rsid w:val="00803EE2"/>
    <w:rsid w:val="008040AD"/>
    <w:rsid w:val="008040D6"/>
    <w:rsid w:val="00804419"/>
    <w:rsid w:val="00804968"/>
    <w:rsid w:val="00804EBC"/>
    <w:rsid w:val="00804EC6"/>
    <w:rsid w:val="00805051"/>
    <w:rsid w:val="00805108"/>
    <w:rsid w:val="00805442"/>
    <w:rsid w:val="00805470"/>
    <w:rsid w:val="00805776"/>
    <w:rsid w:val="008057BE"/>
    <w:rsid w:val="008058FA"/>
    <w:rsid w:val="00805CAF"/>
    <w:rsid w:val="00805CC3"/>
    <w:rsid w:val="00805F1D"/>
    <w:rsid w:val="00805FAB"/>
    <w:rsid w:val="00805FC4"/>
    <w:rsid w:val="00806293"/>
    <w:rsid w:val="008065D9"/>
    <w:rsid w:val="00806708"/>
    <w:rsid w:val="00806872"/>
    <w:rsid w:val="00806932"/>
    <w:rsid w:val="0080766F"/>
    <w:rsid w:val="0080767F"/>
    <w:rsid w:val="00807DCF"/>
    <w:rsid w:val="00810283"/>
    <w:rsid w:val="00810290"/>
    <w:rsid w:val="0081089A"/>
    <w:rsid w:val="00810D8C"/>
    <w:rsid w:val="008115BE"/>
    <w:rsid w:val="008116F6"/>
    <w:rsid w:val="0081180F"/>
    <w:rsid w:val="008119D5"/>
    <w:rsid w:val="00811AE1"/>
    <w:rsid w:val="00811E38"/>
    <w:rsid w:val="00811FBA"/>
    <w:rsid w:val="00812203"/>
    <w:rsid w:val="008123AC"/>
    <w:rsid w:val="008126D3"/>
    <w:rsid w:val="00812781"/>
    <w:rsid w:val="00812890"/>
    <w:rsid w:val="00812D59"/>
    <w:rsid w:val="00812EDE"/>
    <w:rsid w:val="0081319D"/>
    <w:rsid w:val="008133B6"/>
    <w:rsid w:val="0081340A"/>
    <w:rsid w:val="00813908"/>
    <w:rsid w:val="00813936"/>
    <w:rsid w:val="00813ADD"/>
    <w:rsid w:val="00813C1E"/>
    <w:rsid w:val="00814CD5"/>
    <w:rsid w:val="00814F8D"/>
    <w:rsid w:val="00814FC3"/>
    <w:rsid w:val="0081572B"/>
    <w:rsid w:val="00815841"/>
    <w:rsid w:val="00815E9A"/>
    <w:rsid w:val="0081615E"/>
    <w:rsid w:val="008163B4"/>
    <w:rsid w:val="00816569"/>
    <w:rsid w:val="008165CE"/>
    <w:rsid w:val="00816602"/>
    <w:rsid w:val="0081688B"/>
    <w:rsid w:val="00816BAF"/>
    <w:rsid w:val="00816D54"/>
    <w:rsid w:val="008171AD"/>
    <w:rsid w:val="00817934"/>
    <w:rsid w:val="00817E17"/>
    <w:rsid w:val="00817E30"/>
    <w:rsid w:val="00817FE4"/>
    <w:rsid w:val="008201A2"/>
    <w:rsid w:val="008207CD"/>
    <w:rsid w:val="00820A00"/>
    <w:rsid w:val="00820A93"/>
    <w:rsid w:val="00820A9B"/>
    <w:rsid w:val="00820E6A"/>
    <w:rsid w:val="008219DE"/>
    <w:rsid w:val="00821BBD"/>
    <w:rsid w:val="00821E19"/>
    <w:rsid w:val="00821E6A"/>
    <w:rsid w:val="00821F20"/>
    <w:rsid w:val="008225DB"/>
    <w:rsid w:val="0082278A"/>
    <w:rsid w:val="008229C0"/>
    <w:rsid w:val="00822AF0"/>
    <w:rsid w:val="00822D4A"/>
    <w:rsid w:val="00822DA0"/>
    <w:rsid w:val="00822E9B"/>
    <w:rsid w:val="00823504"/>
    <w:rsid w:val="008236E9"/>
    <w:rsid w:val="008237BB"/>
    <w:rsid w:val="00823ED6"/>
    <w:rsid w:val="008243E0"/>
    <w:rsid w:val="008243EE"/>
    <w:rsid w:val="008244D2"/>
    <w:rsid w:val="00824B4E"/>
    <w:rsid w:val="00824D34"/>
    <w:rsid w:val="0082503B"/>
    <w:rsid w:val="0082557E"/>
    <w:rsid w:val="00825647"/>
    <w:rsid w:val="00826059"/>
    <w:rsid w:val="008260B4"/>
    <w:rsid w:val="00826796"/>
    <w:rsid w:val="008267FB"/>
    <w:rsid w:val="00826B91"/>
    <w:rsid w:val="00826D71"/>
    <w:rsid w:val="00826DFE"/>
    <w:rsid w:val="00826EB5"/>
    <w:rsid w:val="00827219"/>
    <w:rsid w:val="008273A7"/>
    <w:rsid w:val="008273C4"/>
    <w:rsid w:val="00827509"/>
    <w:rsid w:val="00827A0D"/>
    <w:rsid w:val="00827B5C"/>
    <w:rsid w:val="00827E06"/>
    <w:rsid w:val="00827FDF"/>
    <w:rsid w:val="00830595"/>
    <w:rsid w:val="008305F5"/>
    <w:rsid w:val="00830AC2"/>
    <w:rsid w:val="00830B35"/>
    <w:rsid w:val="0083140A"/>
    <w:rsid w:val="008317F0"/>
    <w:rsid w:val="008318E8"/>
    <w:rsid w:val="008319EB"/>
    <w:rsid w:val="00831A15"/>
    <w:rsid w:val="00831F77"/>
    <w:rsid w:val="00832615"/>
    <w:rsid w:val="0083262C"/>
    <w:rsid w:val="00832802"/>
    <w:rsid w:val="00832980"/>
    <w:rsid w:val="00832B1B"/>
    <w:rsid w:val="008332A9"/>
    <w:rsid w:val="00833650"/>
    <w:rsid w:val="00833A90"/>
    <w:rsid w:val="00833BB0"/>
    <w:rsid w:val="00833D3B"/>
    <w:rsid w:val="00833DAD"/>
    <w:rsid w:val="008343FB"/>
    <w:rsid w:val="00834669"/>
    <w:rsid w:val="00834D9C"/>
    <w:rsid w:val="00834F26"/>
    <w:rsid w:val="008350AB"/>
    <w:rsid w:val="0083582E"/>
    <w:rsid w:val="00835877"/>
    <w:rsid w:val="00836359"/>
    <w:rsid w:val="00836490"/>
    <w:rsid w:val="0083668C"/>
    <w:rsid w:val="0083746D"/>
    <w:rsid w:val="00837B3D"/>
    <w:rsid w:val="00837BC0"/>
    <w:rsid w:val="00837BED"/>
    <w:rsid w:val="00837C3F"/>
    <w:rsid w:val="00837D11"/>
    <w:rsid w:val="00837DBD"/>
    <w:rsid w:val="00837EC5"/>
    <w:rsid w:val="00840874"/>
    <w:rsid w:val="008409D6"/>
    <w:rsid w:val="00840AA6"/>
    <w:rsid w:val="00840D33"/>
    <w:rsid w:val="00841029"/>
    <w:rsid w:val="00841036"/>
    <w:rsid w:val="00841038"/>
    <w:rsid w:val="00841722"/>
    <w:rsid w:val="00841734"/>
    <w:rsid w:val="0084191B"/>
    <w:rsid w:val="00841974"/>
    <w:rsid w:val="00841D2B"/>
    <w:rsid w:val="00841EA0"/>
    <w:rsid w:val="00841EAE"/>
    <w:rsid w:val="008425C7"/>
    <w:rsid w:val="00842B0C"/>
    <w:rsid w:val="00842B6A"/>
    <w:rsid w:val="00842B7A"/>
    <w:rsid w:val="00842DB9"/>
    <w:rsid w:val="00842E13"/>
    <w:rsid w:val="00842ECC"/>
    <w:rsid w:val="00842F11"/>
    <w:rsid w:val="008431C2"/>
    <w:rsid w:val="0084330A"/>
    <w:rsid w:val="008439A2"/>
    <w:rsid w:val="00843F92"/>
    <w:rsid w:val="00843FD1"/>
    <w:rsid w:val="0084452D"/>
    <w:rsid w:val="00844533"/>
    <w:rsid w:val="0084474F"/>
    <w:rsid w:val="0084476D"/>
    <w:rsid w:val="008447C6"/>
    <w:rsid w:val="00844AFD"/>
    <w:rsid w:val="00844CC8"/>
    <w:rsid w:val="008450C6"/>
    <w:rsid w:val="008453CD"/>
    <w:rsid w:val="008458DC"/>
    <w:rsid w:val="00845E5E"/>
    <w:rsid w:val="00845F0D"/>
    <w:rsid w:val="008467F4"/>
    <w:rsid w:val="00846C83"/>
    <w:rsid w:val="0084713C"/>
    <w:rsid w:val="00847255"/>
    <w:rsid w:val="0084739F"/>
    <w:rsid w:val="008474D4"/>
    <w:rsid w:val="008478D3"/>
    <w:rsid w:val="00847A47"/>
    <w:rsid w:val="00847B47"/>
    <w:rsid w:val="00847F44"/>
    <w:rsid w:val="0085000C"/>
    <w:rsid w:val="00850680"/>
    <w:rsid w:val="00850858"/>
    <w:rsid w:val="00850C0E"/>
    <w:rsid w:val="00850E82"/>
    <w:rsid w:val="00850EE7"/>
    <w:rsid w:val="00850F78"/>
    <w:rsid w:val="00851029"/>
    <w:rsid w:val="0085105A"/>
    <w:rsid w:val="0085108C"/>
    <w:rsid w:val="008511F4"/>
    <w:rsid w:val="00851325"/>
    <w:rsid w:val="008518AB"/>
    <w:rsid w:val="00852055"/>
    <w:rsid w:val="0085217B"/>
    <w:rsid w:val="008521CC"/>
    <w:rsid w:val="0085242A"/>
    <w:rsid w:val="008526CD"/>
    <w:rsid w:val="00852904"/>
    <w:rsid w:val="00852FFF"/>
    <w:rsid w:val="0085329A"/>
    <w:rsid w:val="0085341C"/>
    <w:rsid w:val="0085365B"/>
    <w:rsid w:val="00853A1F"/>
    <w:rsid w:val="00853C63"/>
    <w:rsid w:val="00853EFA"/>
    <w:rsid w:val="00853F91"/>
    <w:rsid w:val="00854011"/>
    <w:rsid w:val="00854A3C"/>
    <w:rsid w:val="00854E37"/>
    <w:rsid w:val="00854FBF"/>
    <w:rsid w:val="008550C2"/>
    <w:rsid w:val="008554E2"/>
    <w:rsid w:val="008555E1"/>
    <w:rsid w:val="00855E61"/>
    <w:rsid w:val="00855ECD"/>
    <w:rsid w:val="00855F43"/>
    <w:rsid w:val="00855F91"/>
    <w:rsid w:val="00856080"/>
    <w:rsid w:val="0085610B"/>
    <w:rsid w:val="00856414"/>
    <w:rsid w:val="008565D1"/>
    <w:rsid w:val="0085732E"/>
    <w:rsid w:val="00857680"/>
    <w:rsid w:val="0085791E"/>
    <w:rsid w:val="00857A4A"/>
    <w:rsid w:val="00857B5F"/>
    <w:rsid w:val="00857BA4"/>
    <w:rsid w:val="008602DA"/>
    <w:rsid w:val="008603A6"/>
    <w:rsid w:val="00860438"/>
    <w:rsid w:val="008608DA"/>
    <w:rsid w:val="00860A21"/>
    <w:rsid w:val="00860AB4"/>
    <w:rsid w:val="00860E9E"/>
    <w:rsid w:val="008611AB"/>
    <w:rsid w:val="008615B4"/>
    <w:rsid w:val="00861900"/>
    <w:rsid w:val="008619BD"/>
    <w:rsid w:val="00861BBB"/>
    <w:rsid w:val="00861D0E"/>
    <w:rsid w:val="008620B7"/>
    <w:rsid w:val="00862131"/>
    <w:rsid w:val="008624DF"/>
    <w:rsid w:val="0086262E"/>
    <w:rsid w:val="008629AE"/>
    <w:rsid w:val="00862A36"/>
    <w:rsid w:val="00862B93"/>
    <w:rsid w:val="00862D7F"/>
    <w:rsid w:val="0086322F"/>
    <w:rsid w:val="00863408"/>
    <w:rsid w:val="00863416"/>
    <w:rsid w:val="00863797"/>
    <w:rsid w:val="00863C61"/>
    <w:rsid w:val="00864012"/>
    <w:rsid w:val="00864054"/>
    <w:rsid w:val="008640C8"/>
    <w:rsid w:val="008641C4"/>
    <w:rsid w:val="00864665"/>
    <w:rsid w:val="008648D1"/>
    <w:rsid w:val="00864ECA"/>
    <w:rsid w:val="0086553A"/>
    <w:rsid w:val="0086567D"/>
    <w:rsid w:val="008656A3"/>
    <w:rsid w:val="00865A76"/>
    <w:rsid w:val="00865AB7"/>
    <w:rsid w:val="00865EAA"/>
    <w:rsid w:val="0086600A"/>
    <w:rsid w:val="0086640B"/>
    <w:rsid w:val="00866790"/>
    <w:rsid w:val="00866C42"/>
    <w:rsid w:val="00866F3D"/>
    <w:rsid w:val="008670E0"/>
    <w:rsid w:val="008671EA"/>
    <w:rsid w:val="0086737E"/>
    <w:rsid w:val="00867686"/>
    <w:rsid w:val="00867954"/>
    <w:rsid w:val="00867B16"/>
    <w:rsid w:val="00867D9B"/>
    <w:rsid w:val="00867E2A"/>
    <w:rsid w:val="0087007A"/>
    <w:rsid w:val="00870579"/>
    <w:rsid w:val="00870A53"/>
    <w:rsid w:val="00870D06"/>
    <w:rsid w:val="008711D2"/>
    <w:rsid w:val="008717B8"/>
    <w:rsid w:val="00871862"/>
    <w:rsid w:val="00871BFB"/>
    <w:rsid w:val="0087200A"/>
    <w:rsid w:val="00872270"/>
    <w:rsid w:val="008727D6"/>
    <w:rsid w:val="0087298B"/>
    <w:rsid w:val="0087298E"/>
    <w:rsid w:val="00872D9B"/>
    <w:rsid w:val="00872E0F"/>
    <w:rsid w:val="0087320F"/>
    <w:rsid w:val="008733B3"/>
    <w:rsid w:val="00873BCD"/>
    <w:rsid w:val="00873BF9"/>
    <w:rsid w:val="00873C40"/>
    <w:rsid w:val="00874756"/>
    <w:rsid w:val="008747A0"/>
    <w:rsid w:val="00874AA0"/>
    <w:rsid w:val="00874DC7"/>
    <w:rsid w:val="00875256"/>
    <w:rsid w:val="008752DD"/>
    <w:rsid w:val="0087554C"/>
    <w:rsid w:val="00875797"/>
    <w:rsid w:val="00875B02"/>
    <w:rsid w:val="00875BAC"/>
    <w:rsid w:val="00875E6E"/>
    <w:rsid w:val="00876157"/>
    <w:rsid w:val="00876239"/>
    <w:rsid w:val="00876535"/>
    <w:rsid w:val="00876840"/>
    <w:rsid w:val="008768D6"/>
    <w:rsid w:val="00876A96"/>
    <w:rsid w:val="00876B0B"/>
    <w:rsid w:val="00876D8C"/>
    <w:rsid w:val="00876F37"/>
    <w:rsid w:val="00876FD1"/>
    <w:rsid w:val="008775F4"/>
    <w:rsid w:val="00877B72"/>
    <w:rsid w:val="00877BAD"/>
    <w:rsid w:val="00877D63"/>
    <w:rsid w:val="00880188"/>
    <w:rsid w:val="008802BC"/>
    <w:rsid w:val="0088075F"/>
    <w:rsid w:val="00880D7E"/>
    <w:rsid w:val="00880EB6"/>
    <w:rsid w:val="008812FD"/>
    <w:rsid w:val="0088191E"/>
    <w:rsid w:val="00881D92"/>
    <w:rsid w:val="00882103"/>
    <w:rsid w:val="0088213A"/>
    <w:rsid w:val="00882340"/>
    <w:rsid w:val="00882921"/>
    <w:rsid w:val="00882943"/>
    <w:rsid w:val="00882AD8"/>
    <w:rsid w:val="00882BB2"/>
    <w:rsid w:val="00882CD9"/>
    <w:rsid w:val="00882E82"/>
    <w:rsid w:val="00882F19"/>
    <w:rsid w:val="00883135"/>
    <w:rsid w:val="00883508"/>
    <w:rsid w:val="0088353A"/>
    <w:rsid w:val="008836FF"/>
    <w:rsid w:val="00883735"/>
    <w:rsid w:val="0088379E"/>
    <w:rsid w:val="008839BC"/>
    <w:rsid w:val="00883B4C"/>
    <w:rsid w:val="00883DDD"/>
    <w:rsid w:val="00883E21"/>
    <w:rsid w:val="00884087"/>
    <w:rsid w:val="008843D2"/>
    <w:rsid w:val="008844B4"/>
    <w:rsid w:val="008845A8"/>
    <w:rsid w:val="0088475C"/>
    <w:rsid w:val="0088499C"/>
    <w:rsid w:val="008849D4"/>
    <w:rsid w:val="0088507C"/>
    <w:rsid w:val="00885084"/>
    <w:rsid w:val="00885259"/>
    <w:rsid w:val="0088530F"/>
    <w:rsid w:val="00885607"/>
    <w:rsid w:val="008857AB"/>
    <w:rsid w:val="00885A88"/>
    <w:rsid w:val="00885D0E"/>
    <w:rsid w:val="00885E2F"/>
    <w:rsid w:val="00885F8C"/>
    <w:rsid w:val="00886039"/>
    <w:rsid w:val="00886980"/>
    <w:rsid w:val="008869FE"/>
    <w:rsid w:val="00887196"/>
    <w:rsid w:val="008871F8"/>
    <w:rsid w:val="00887773"/>
    <w:rsid w:val="008877F2"/>
    <w:rsid w:val="00887845"/>
    <w:rsid w:val="00887954"/>
    <w:rsid w:val="00887C48"/>
    <w:rsid w:val="00887EE7"/>
    <w:rsid w:val="008900AC"/>
    <w:rsid w:val="00890157"/>
    <w:rsid w:val="0089021A"/>
    <w:rsid w:val="00890613"/>
    <w:rsid w:val="008909A5"/>
    <w:rsid w:val="00890A3B"/>
    <w:rsid w:val="00890FC6"/>
    <w:rsid w:val="008914C7"/>
    <w:rsid w:val="00891516"/>
    <w:rsid w:val="00891879"/>
    <w:rsid w:val="008918DF"/>
    <w:rsid w:val="00891EB9"/>
    <w:rsid w:val="0089217A"/>
    <w:rsid w:val="008921F3"/>
    <w:rsid w:val="008926B4"/>
    <w:rsid w:val="00892760"/>
    <w:rsid w:val="00892F2A"/>
    <w:rsid w:val="00893144"/>
    <w:rsid w:val="008931C0"/>
    <w:rsid w:val="008934AB"/>
    <w:rsid w:val="008934B6"/>
    <w:rsid w:val="00893A28"/>
    <w:rsid w:val="00893DC5"/>
    <w:rsid w:val="00893EB0"/>
    <w:rsid w:val="00894069"/>
    <w:rsid w:val="00894396"/>
    <w:rsid w:val="008951D4"/>
    <w:rsid w:val="00895218"/>
    <w:rsid w:val="00895538"/>
    <w:rsid w:val="008958B4"/>
    <w:rsid w:val="00895A48"/>
    <w:rsid w:val="00895BC3"/>
    <w:rsid w:val="00895C56"/>
    <w:rsid w:val="00896147"/>
    <w:rsid w:val="008963F4"/>
    <w:rsid w:val="00896730"/>
    <w:rsid w:val="00896879"/>
    <w:rsid w:val="008970E9"/>
    <w:rsid w:val="00897427"/>
    <w:rsid w:val="00897447"/>
    <w:rsid w:val="0089754F"/>
    <w:rsid w:val="008978EC"/>
    <w:rsid w:val="00897BF5"/>
    <w:rsid w:val="008A067C"/>
    <w:rsid w:val="008A0B9A"/>
    <w:rsid w:val="008A0DA0"/>
    <w:rsid w:val="008A0EC5"/>
    <w:rsid w:val="008A0EF5"/>
    <w:rsid w:val="008A0F53"/>
    <w:rsid w:val="008A127D"/>
    <w:rsid w:val="008A139D"/>
    <w:rsid w:val="008A13BA"/>
    <w:rsid w:val="008A1626"/>
    <w:rsid w:val="008A18B9"/>
    <w:rsid w:val="008A18D3"/>
    <w:rsid w:val="008A1B69"/>
    <w:rsid w:val="008A1BB8"/>
    <w:rsid w:val="008A1CDF"/>
    <w:rsid w:val="008A262D"/>
    <w:rsid w:val="008A265F"/>
    <w:rsid w:val="008A36F7"/>
    <w:rsid w:val="008A39E9"/>
    <w:rsid w:val="008A3D9E"/>
    <w:rsid w:val="008A3E84"/>
    <w:rsid w:val="008A4304"/>
    <w:rsid w:val="008A4513"/>
    <w:rsid w:val="008A485D"/>
    <w:rsid w:val="008A4B9C"/>
    <w:rsid w:val="008A4BD3"/>
    <w:rsid w:val="008A4BD8"/>
    <w:rsid w:val="008A4DD8"/>
    <w:rsid w:val="008A4F5A"/>
    <w:rsid w:val="008A51CD"/>
    <w:rsid w:val="008A54CA"/>
    <w:rsid w:val="008A5570"/>
    <w:rsid w:val="008A55C3"/>
    <w:rsid w:val="008A55F4"/>
    <w:rsid w:val="008A56E0"/>
    <w:rsid w:val="008A5701"/>
    <w:rsid w:val="008A5735"/>
    <w:rsid w:val="008A597E"/>
    <w:rsid w:val="008A5D59"/>
    <w:rsid w:val="008A6486"/>
    <w:rsid w:val="008A64FC"/>
    <w:rsid w:val="008A6683"/>
    <w:rsid w:val="008A66AC"/>
    <w:rsid w:val="008A6A77"/>
    <w:rsid w:val="008A6B3F"/>
    <w:rsid w:val="008A6FCB"/>
    <w:rsid w:val="008A72AC"/>
    <w:rsid w:val="008A7328"/>
    <w:rsid w:val="008A7622"/>
    <w:rsid w:val="008A7714"/>
    <w:rsid w:val="008A77D3"/>
    <w:rsid w:val="008A7EB1"/>
    <w:rsid w:val="008A7F61"/>
    <w:rsid w:val="008B0210"/>
    <w:rsid w:val="008B0327"/>
    <w:rsid w:val="008B0C1F"/>
    <w:rsid w:val="008B0ED3"/>
    <w:rsid w:val="008B1143"/>
    <w:rsid w:val="008B121F"/>
    <w:rsid w:val="008B1277"/>
    <w:rsid w:val="008B146F"/>
    <w:rsid w:val="008B1704"/>
    <w:rsid w:val="008B187B"/>
    <w:rsid w:val="008B1A33"/>
    <w:rsid w:val="008B1AEE"/>
    <w:rsid w:val="008B1B3D"/>
    <w:rsid w:val="008B1B95"/>
    <w:rsid w:val="008B2B67"/>
    <w:rsid w:val="008B2DB9"/>
    <w:rsid w:val="008B2DC9"/>
    <w:rsid w:val="008B3130"/>
    <w:rsid w:val="008B31C6"/>
    <w:rsid w:val="008B31E3"/>
    <w:rsid w:val="008B3EA2"/>
    <w:rsid w:val="008B4AA4"/>
    <w:rsid w:val="008B525B"/>
    <w:rsid w:val="008B5CEF"/>
    <w:rsid w:val="008B5CF4"/>
    <w:rsid w:val="008B6085"/>
    <w:rsid w:val="008B649A"/>
    <w:rsid w:val="008B66A7"/>
    <w:rsid w:val="008B6863"/>
    <w:rsid w:val="008B6B9D"/>
    <w:rsid w:val="008B7126"/>
    <w:rsid w:val="008B7CE4"/>
    <w:rsid w:val="008B7DF9"/>
    <w:rsid w:val="008B7FC4"/>
    <w:rsid w:val="008C046D"/>
    <w:rsid w:val="008C0782"/>
    <w:rsid w:val="008C0A01"/>
    <w:rsid w:val="008C0AB9"/>
    <w:rsid w:val="008C0C54"/>
    <w:rsid w:val="008C0E8D"/>
    <w:rsid w:val="008C1287"/>
    <w:rsid w:val="008C165D"/>
    <w:rsid w:val="008C1992"/>
    <w:rsid w:val="008C1E9E"/>
    <w:rsid w:val="008C20A6"/>
    <w:rsid w:val="008C2177"/>
    <w:rsid w:val="008C220E"/>
    <w:rsid w:val="008C222C"/>
    <w:rsid w:val="008C237A"/>
    <w:rsid w:val="008C272B"/>
    <w:rsid w:val="008C28F2"/>
    <w:rsid w:val="008C294F"/>
    <w:rsid w:val="008C2C09"/>
    <w:rsid w:val="008C30C3"/>
    <w:rsid w:val="008C30D2"/>
    <w:rsid w:val="008C3478"/>
    <w:rsid w:val="008C376F"/>
    <w:rsid w:val="008C3CD0"/>
    <w:rsid w:val="008C4205"/>
    <w:rsid w:val="008C45FC"/>
    <w:rsid w:val="008C487D"/>
    <w:rsid w:val="008C4965"/>
    <w:rsid w:val="008C4AC5"/>
    <w:rsid w:val="008C4D01"/>
    <w:rsid w:val="008C4EC6"/>
    <w:rsid w:val="008C55BF"/>
    <w:rsid w:val="008C5F86"/>
    <w:rsid w:val="008C6166"/>
    <w:rsid w:val="008C645A"/>
    <w:rsid w:val="008C6A7A"/>
    <w:rsid w:val="008C6B67"/>
    <w:rsid w:val="008C6E53"/>
    <w:rsid w:val="008C7059"/>
    <w:rsid w:val="008C71A8"/>
    <w:rsid w:val="008C76FF"/>
    <w:rsid w:val="008C77F0"/>
    <w:rsid w:val="008C7852"/>
    <w:rsid w:val="008C7DEA"/>
    <w:rsid w:val="008D00F5"/>
    <w:rsid w:val="008D0461"/>
    <w:rsid w:val="008D0A7E"/>
    <w:rsid w:val="008D0FDD"/>
    <w:rsid w:val="008D0FF1"/>
    <w:rsid w:val="008D124D"/>
    <w:rsid w:val="008D1B84"/>
    <w:rsid w:val="008D1BB0"/>
    <w:rsid w:val="008D1F06"/>
    <w:rsid w:val="008D25CF"/>
    <w:rsid w:val="008D25DE"/>
    <w:rsid w:val="008D26CF"/>
    <w:rsid w:val="008D27F9"/>
    <w:rsid w:val="008D2DFD"/>
    <w:rsid w:val="008D38CA"/>
    <w:rsid w:val="008D38F1"/>
    <w:rsid w:val="008D3AFF"/>
    <w:rsid w:val="008D3C2B"/>
    <w:rsid w:val="008D3DA0"/>
    <w:rsid w:val="008D417A"/>
    <w:rsid w:val="008D46F1"/>
    <w:rsid w:val="008D4D34"/>
    <w:rsid w:val="008D4FE8"/>
    <w:rsid w:val="008D5390"/>
    <w:rsid w:val="008D569D"/>
    <w:rsid w:val="008D66FE"/>
    <w:rsid w:val="008D6808"/>
    <w:rsid w:val="008D6A89"/>
    <w:rsid w:val="008D6D71"/>
    <w:rsid w:val="008D6E89"/>
    <w:rsid w:val="008D7BC1"/>
    <w:rsid w:val="008D7D2A"/>
    <w:rsid w:val="008D7F94"/>
    <w:rsid w:val="008D7FD4"/>
    <w:rsid w:val="008E0283"/>
    <w:rsid w:val="008E07C0"/>
    <w:rsid w:val="008E080A"/>
    <w:rsid w:val="008E0B32"/>
    <w:rsid w:val="008E0BCA"/>
    <w:rsid w:val="008E126E"/>
    <w:rsid w:val="008E16DA"/>
    <w:rsid w:val="008E1CB0"/>
    <w:rsid w:val="008E1E0B"/>
    <w:rsid w:val="008E221B"/>
    <w:rsid w:val="008E23AA"/>
    <w:rsid w:val="008E244B"/>
    <w:rsid w:val="008E25A7"/>
    <w:rsid w:val="008E2743"/>
    <w:rsid w:val="008E29B5"/>
    <w:rsid w:val="008E2BEB"/>
    <w:rsid w:val="008E2BF5"/>
    <w:rsid w:val="008E2C03"/>
    <w:rsid w:val="008E2C4F"/>
    <w:rsid w:val="008E2D2F"/>
    <w:rsid w:val="008E3CAA"/>
    <w:rsid w:val="008E3DE3"/>
    <w:rsid w:val="008E3FA5"/>
    <w:rsid w:val="008E402E"/>
    <w:rsid w:val="008E4194"/>
    <w:rsid w:val="008E4244"/>
    <w:rsid w:val="008E42EA"/>
    <w:rsid w:val="008E4486"/>
    <w:rsid w:val="008E4605"/>
    <w:rsid w:val="008E46FC"/>
    <w:rsid w:val="008E48BC"/>
    <w:rsid w:val="008E49D0"/>
    <w:rsid w:val="008E4C71"/>
    <w:rsid w:val="008E5997"/>
    <w:rsid w:val="008E5D84"/>
    <w:rsid w:val="008E5DF9"/>
    <w:rsid w:val="008E65D3"/>
    <w:rsid w:val="008E66B2"/>
    <w:rsid w:val="008E684A"/>
    <w:rsid w:val="008E69FF"/>
    <w:rsid w:val="008E711A"/>
    <w:rsid w:val="008E75AE"/>
    <w:rsid w:val="008F0063"/>
    <w:rsid w:val="008F0195"/>
    <w:rsid w:val="008F0245"/>
    <w:rsid w:val="008F0864"/>
    <w:rsid w:val="008F0B86"/>
    <w:rsid w:val="008F0F20"/>
    <w:rsid w:val="008F0F69"/>
    <w:rsid w:val="008F12F4"/>
    <w:rsid w:val="008F1471"/>
    <w:rsid w:val="008F1890"/>
    <w:rsid w:val="008F1B3E"/>
    <w:rsid w:val="008F1C84"/>
    <w:rsid w:val="008F1E35"/>
    <w:rsid w:val="008F2604"/>
    <w:rsid w:val="008F28CA"/>
    <w:rsid w:val="008F30AE"/>
    <w:rsid w:val="008F31FB"/>
    <w:rsid w:val="008F3B83"/>
    <w:rsid w:val="008F3C72"/>
    <w:rsid w:val="008F3F9B"/>
    <w:rsid w:val="008F40AF"/>
    <w:rsid w:val="008F4110"/>
    <w:rsid w:val="008F4325"/>
    <w:rsid w:val="008F45DE"/>
    <w:rsid w:val="008F45FD"/>
    <w:rsid w:val="008F4AA3"/>
    <w:rsid w:val="008F4AF3"/>
    <w:rsid w:val="008F50DF"/>
    <w:rsid w:val="008F51EE"/>
    <w:rsid w:val="008F56AC"/>
    <w:rsid w:val="008F5EE2"/>
    <w:rsid w:val="008F5FBE"/>
    <w:rsid w:val="008F5FEE"/>
    <w:rsid w:val="008F60FE"/>
    <w:rsid w:val="008F62D4"/>
    <w:rsid w:val="008F6439"/>
    <w:rsid w:val="008F64A5"/>
    <w:rsid w:val="008F6712"/>
    <w:rsid w:val="008F6D0D"/>
    <w:rsid w:val="008F7152"/>
    <w:rsid w:val="008F739B"/>
    <w:rsid w:val="008F7418"/>
    <w:rsid w:val="008F7448"/>
    <w:rsid w:val="008F784B"/>
    <w:rsid w:val="008F7DC8"/>
    <w:rsid w:val="009001C2"/>
    <w:rsid w:val="0090045B"/>
    <w:rsid w:val="00900DB5"/>
    <w:rsid w:val="00900FC6"/>
    <w:rsid w:val="0090116C"/>
    <w:rsid w:val="0090118A"/>
    <w:rsid w:val="00901445"/>
    <w:rsid w:val="00901C23"/>
    <w:rsid w:val="00901CDB"/>
    <w:rsid w:val="00901FC4"/>
    <w:rsid w:val="0090206E"/>
    <w:rsid w:val="009020A3"/>
    <w:rsid w:val="00902705"/>
    <w:rsid w:val="009027F3"/>
    <w:rsid w:val="00902873"/>
    <w:rsid w:val="00902890"/>
    <w:rsid w:val="0090298C"/>
    <w:rsid w:val="00902B4B"/>
    <w:rsid w:val="00902FF1"/>
    <w:rsid w:val="0090339D"/>
    <w:rsid w:val="00903586"/>
    <w:rsid w:val="009035F0"/>
    <w:rsid w:val="00903684"/>
    <w:rsid w:val="0090381D"/>
    <w:rsid w:val="00903A44"/>
    <w:rsid w:val="00903BD2"/>
    <w:rsid w:val="00904057"/>
    <w:rsid w:val="0090448D"/>
    <w:rsid w:val="00904890"/>
    <w:rsid w:val="009048CE"/>
    <w:rsid w:val="00904E01"/>
    <w:rsid w:val="00904E65"/>
    <w:rsid w:val="00904F04"/>
    <w:rsid w:val="00904F22"/>
    <w:rsid w:val="00905318"/>
    <w:rsid w:val="0090535B"/>
    <w:rsid w:val="00905B4F"/>
    <w:rsid w:val="009065BF"/>
    <w:rsid w:val="009066A0"/>
    <w:rsid w:val="00906B43"/>
    <w:rsid w:val="00906BC5"/>
    <w:rsid w:val="00906C04"/>
    <w:rsid w:val="0090704F"/>
    <w:rsid w:val="00907C27"/>
    <w:rsid w:val="00907CCC"/>
    <w:rsid w:val="00907D04"/>
    <w:rsid w:val="00907FA4"/>
    <w:rsid w:val="00910279"/>
    <w:rsid w:val="009103BE"/>
    <w:rsid w:val="00910628"/>
    <w:rsid w:val="00910631"/>
    <w:rsid w:val="00910638"/>
    <w:rsid w:val="0091071D"/>
    <w:rsid w:val="00910927"/>
    <w:rsid w:val="00910B14"/>
    <w:rsid w:val="00910DD0"/>
    <w:rsid w:val="00910F52"/>
    <w:rsid w:val="0091116C"/>
    <w:rsid w:val="009112B6"/>
    <w:rsid w:val="009112CD"/>
    <w:rsid w:val="00911580"/>
    <w:rsid w:val="00911E4E"/>
    <w:rsid w:val="0091259C"/>
    <w:rsid w:val="009126E7"/>
    <w:rsid w:val="0091294A"/>
    <w:rsid w:val="00912D16"/>
    <w:rsid w:val="00912E48"/>
    <w:rsid w:val="00913400"/>
    <w:rsid w:val="0091366A"/>
    <w:rsid w:val="00913826"/>
    <w:rsid w:val="00913DA8"/>
    <w:rsid w:val="00913E13"/>
    <w:rsid w:val="00913F07"/>
    <w:rsid w:val="0091409A"/>
    <w:rsid w:val="00914306"/>
    <w:rsid w:val="00914AC0"/>
    <w:rsid w:val="00914C58"/>
    <w:rsid w:val="009150BE"/>
    <w:rsid w:val="009152E4"/>
    <w:rsid w:val="009153F8"/>
    <w:rsid w:val="0091590E"/>
    <w:rsid w:val="00915A27"/>
    <w:rsid w:val="00915AED"/>
    <w:rsid w:val="009160DC"/>
    <w:rsid w:val="00916697"/>
    <w:rsid w:val="00916718"/>
    <w:rsid w:val="00916A1D"/>
    <w:rsid w:val="00916F23"/>
    <w:rsid w:val="00916FB8"/>
    <w:rsid w:val="00917218"/>
    <w:rsid w:val="009172FD"/>
    <w:rsid w:val="0091776B"/>
    <w:rsid w:val="00917816"/>
    <w:rsid w:val="009179A6"/>
    <w:rsid w:val="00917C71"/>
    <w:rsid w:val="00917DFB"/>
    <w:rsid w:val="00920785"/>
    <w:rsid w:val="00920A65"/>
    <w:rsid w:val="00920BA4"/>
    <w:rsid w:val="00920BA7"/>
    <w:rsid w:val="00920D3A"/>
    <w:rsid w:val="00920D46"/>
    <w:rsid w:val="0092135A"/>
    <w:rsid w:val="00921424"/>
    <w:rsid w:val="0092146F"/>
    <w:rsid w:val="009215CC"/>
    <w:rsid w:val="00921B62"/>
    <w:rsid w:val="00922050"/>
    <w:rsid w:val="00922289"/>
    <w:rsid w:val="00922977"/>
    <w:rsid w:val="00922C2C"/>
    <w:rsid w:val="00922CA6"/>
    <w:rsid w:val="0092323F"/>
    <w:rsid w:val="009236D6"/>
    <w:rsid w:val="00923E00"/>
    <w:rsid w:val="00923E2F"/>
    <w:rsid w:val="00923F88"/>
    <w:rsid w:val="00924273"/>
    <w:rsid w:val="0092436F"/>
    <w:rsid w:val="0092461C"/>
    <w:rsid w:val="009246FC"/>
    <w:rsid w:val="009247A8"/>
    <w:rsid w:val="00925022"/>
    <w:rsid w:val="00925112"/>
    <w:rsid w:val="009251AD"/>
    <w:rsid w:val="009256E3"/>
    <w:rsid w:val="00925F59"/>
    <w:rsid w:val="0092615A"/>
    <w:rsid w:val="00926473"/>
    <w:rsid w:val="009266BC"/>
    <w:rsid w:val="00926BCE"/>
    <w:rsid w:val="00926C23"/>
    <w:rsid w:val="00926FDE"/>
    <w:rsid w:val="009272FB"/>
    <w:rsid w:val="00927391"/>
    <w:rsid w:val="00927530"/>
    <w:rsid w:val="009277CA"/>
    <w:rsid w:val="00927B3E"/>
    <w:rsid w:val="009300D0"/>
    <w:rsid w:val="00930105"/>
    <w:rsid w:val="0093038E"/>
    <w:rsid w:val="00930779"/>
    <w:rsid w:val="00930AFC"/>
    <w:rsid w:val="00930D56"/>
    <w:rsid w:val="00931781"/>
    <w:rsid w:val="00931797"/>
    <w:rsid w:val="00931D5B"/>
    <w:rsid w:val="00932B4B"/>
    <w:rsid w:val="009331D9"/>
    <w:rsid w:val="00933488"/>
    <w:rsid w:val="009336B2"/>
    <w:rsid w:val="0093377C"/>
    <w:rsid w:val="009337B2"/>
    <w:rsid w:val="00933ECD"/>
    <w:rsid w:val="009344F9"/>
    <w:rsid w:val="009348C8"/>
    <w:rsid w:val="00934F15"/>
    <w:rsid w:val="009352E2"/>
    <w:rsid w:val="009354B3"/>
    <w:rsid w:val="0093588B"/>
    <w:rsid w:val="00935B67"/>
    <w:rsid w:val="00935CCA"/>
    <w:rsid w:val="009367FE"/>
    <w:rsid w:val="00937227"/>
    <w:rsid w:val="00937268"/>
    <w:rsid w:val="00937509"/>
    <w:rsid w:val="00937963"/>
    <w:rsid w:val="00937CD2"/>
    <w:rsid w:val="00937F6E"/>
    <w:rsid w:val="0094023F"/>
    <w:rsid w:val="009404F2"/>
    <w:rsid w:val="009408BF"/>
    <w:rsid w:val="00940F15"/>
    <w:rsid w:val="009411E3"/>
    <w:rsid w:val="00941582"/>
    <w:rsid w:val="00941A1E"/>
    <w:rsid w:val="00941A21"/>
    <w:rsid w:val="00941C66"/>
    <w:rsid w:val="00941F3E"/>
    <w:rsid w:val="009425DE"/>
    <w:rsid w:val="00942768"/>
    <w:rsid w:val="00942988"/>
    <w:rsid w:val="00942A3D"/>
    <w:rsid w:val="00942A7C"/>
    <w:rsid w:val="00942E15"/>
    <w:rsid w:val="0094324F"/>
    <w:rsid w:val="009432A7"/>
    <w:rsid w:val="009436CB"/>
    <w:rsid w:val="009436F7"/>
    <w:rsid w:val="00943FD8"/>
    <w:rsid w:val="009444F9"/>
    <w:rsid w:val="00944E47"/>
    <w:rsid w:val="00944FC2"/>
    <w:rsid w:val="00945152"/>
    <w:rsid w:val="009454EC"/>
    <w:rsid w:val="00945A0D"/>
    <w:rsid w:val="00945AEC"/>
    <w:rsid w:val="00945C2D"/>
    <w:rsid w:val="00945C77"/>
    <w:rsid w:val="00945F15"/>
    <w:rsid w:val="009465F8"/>
    <w:rsid w:val="0094687C"/>
    <w:rsid w:val="00946A6B"/>
    <w:rsid w:val="00946DEE"/>
    <w:rsid w:val="00946E5B"/>
    <w:rsid w:val="00946E72"/>
    <w:rsid w:val="00946ECB"/>
    <w:rsid w:val="00946F36"/>
    <w:rsid w:val="009476A5"/>
    <w:rsid w:val="009477B8"/>
    <w:rsid w:val="0094784E"/>
    <w:rsid w:val="00947C89"/>
    <w:rsid w:val="00947E57"/>
    <w:rsid w:val="0095037C"/>
    <w:rsid w:val="009506F4"/>
    <w:rsid w:val="009507FC"/>
    <w:rsid w:val="00950BEE"/>
    <w:rsid w:val="00950ECB"/>
    <w:rsid w:val="00951110"/>
    <w:rsid w:val="00951661"/>
    <w:rsid w:val="0095189E"/>
    <w:rsid w:val="00951C43"/>
    <w:rsid w:val="00951D23"/>
    <w:rsid w:val="00952862"/>
    <w:rsid w:val="00952FFA"/>
    <w:rsid w:val="00953503"/>
    <w:rsid w:val="00953AE9"/>
    <w:rsid w:val="00953F8B"/>
    <w:rsid w:val="00954165"/>
    <w:rsid w:val="009541E4"/>
    <w:rsid w:val="00954347"/>
    <w:rsid w:val="0095444E"/>
    <w:rsid w:val="00954453"/>
    <w:rsid w:val="009545CE"/>
    <w:rsid w:val="009546AB"/>
    <w:rsid w:val="009548F6"/>
    <w:rsid w:val="00954C5E"/>
    <w:rsid w:val="00955004"/>
    <w:rsid w:val="00955086"/>
    <w:rsid w:val="0095556A"/>
    <w:rsid w:val="00955B0D"/>
    <w:rsid w:val="00955FDC"/>
    <w:rsid w:val="00956318"/>
    <w:rsid w:val="00956330"/>
    <w:rsid w:val="0095663D"/>
    <w:rsid w:val="00956842"/>
    <w:rsid w:val="00956B85"/>
    <w:rsid w:val="00956E8A"/>
    <w:rsid w:val="00956FF6"/>
    <w:rsid w:val="00957270"/>
    <w:rsid w:val="00957322"/>
    <w:rsid w:val="009573A4"/>
    <w:rsid w:val="00957673"/>
    <w:rsid w:val="00957CAA"/>
    <w:rsid w:val="00957E3B"/>
    <w:rsid w:val="00957F02"/>
    <w:rsid w:val="00957FAA"/>
    <w:rsid w:val="0096028E"/>
    <w:rsid w:val="00960365"/>
    <w:rsid w:val="009604E6"/>
    <w:rsid w:val="00960AC5"/>
    <w:rsid w:val="00960E1B"/>
    <w:rsid w:val="00961423"/>
    <w:rsid w:val="00961425"/>
    <w:rsid w:val="00961556"/>
    <w:rsid w:val="0096186B"/>
    <w:rsid w:val="009619C5"/>
    <w:rsid w:val="00961B08"/>
    <w:rsid w:val="00961F7D"/>
    <w:rsid w:val="009629DF"/>
    <w:rsid w:val="00962B6A"/>
    <w:rsid w:val="00962BB1"/>
    <w:rsid w:val="0096304F"/>
    <w:rsid w:val="009631FD"/>
    <w:rsid w:val="0096327B"/>
    <w:rsid w:val="009633D3"/>
    <w:rsid w:val="00963673"/>
    <w:rsid w:val="0096382C"/>
    <w:rsid w:val="00963E34"/>
    <w:rsid w:val="009640EC"/>
    <w:rsid w:val="00964245"/>
    <w:rsid w:val="00964351"/>
    <w:rsid w:val="009648A0"/>
    <w:rsid w:val="00964A90"/>
    <w:rsid w:val="00964EC6"/>
    <w:rsid w:val="0096509C"/>
    <w:rsid w:val="0096520C"/>
    <w:rsid w:val="00965B41"/>
    <w:rsid w:val="00965EAE"/>
    <w:rsid w:val="00966155"/>
    <w:rsid w:val="009664A1"/>
    <w:rsid w:val="0096651F"/>
    <w:rsid w:val="00966F9A"/>
    <w:rsid w:val="00967094"/>
    <w:rsid w:val="0096709E"/>
    <w:rsid w:val="0096710D"/>
    <w:rsid w:val="00967561"/>
    <w:rsid w:val="009675E7"/>
    <w:rsid w:val="009676CD"/>
    <w:rsid w:val="00967990"/>
    <w:rsid w:val="00967FE2"/>
    <w:rsid w:val="009701FD"/>
    <w:rsid w:val="00970394"/>
    <w:rsid w:val="00970541"/>
    <w:rsid w:val="00970777"/>
    <w:rsid w:val="00970ABD"/>
    <w:rsid w:val="00970B1C"/>
    <w:rsid w:val="00970DD6"/>
    <w:rsid w:val="009710E4"/>
    <w:rsid w:val="009715BD"/>
    <w:rsid w:val="009716BF"/>
    <w:rsid w:val="00971743"/>
    <w:rsid w:val="00971793"/>
    <w:rsid w:val="00971806"/>
    <w:rsid w:val="00971B62"/>
    <w:rsid w:val="00971D7D"/>
    <w:rsid w:val="009720F9"/>
    <w:rsid w:val="00972167"/>
    <w:rsid w:val="0097219B"/>
    <w:rsid w:val="0097220A"/>
    <w:rsid w:val="0097295F"/>
    <w:rsid w:val="00972E18"/>
    <w:rsid w:val="00972FBF"/>
    <w:rsid w:val="009731FB"/>
    <w:rsid w:val="009732ED"/>
    <w:rsid w:val="009732F1"/>
    <w:rsid w:val="0097377D"/>
    <w:rsid w:val="00973955"/>
    <w:rsid w:val="00973A6D"/>
    <w:rsid w:val="00973AAC"/>
    <w:rsid w:val="00973D3F"/>
    <w:rsid w:val="00973D58"/>
    <w:rsid w:val="00974214"/>
    <w:rsid w:val="009745A9"/>
    <w:rsid w:val="00974839"/>
    <w:rsid w:val="00974C96"/>
    <w:rsid w:val="00974EAF"/>
    <w:rsid w:val="00974F24"/>
    <w:rsid w:val="00974F3C"/>
    <w:rsid w:val="009752C7"/>
    <w:rsid w:val="00975360"/>
    <w:rsid w:val="0097591C"/>
    <w:rsid w:val="009759F6"/>
    <w:rsid w:val="009762F4"/>
    <w:rsid w:val="009763E3"/>
    <w:rsid w:val="009765D5"/>
    <w:rsid w:val="00976DC4"/>
    <w:rsid w:val="00976DE1"/>
    <w:rsid w:val="00976F8C"/>
    <w:rsid w:val="00977421"/>
    <w:rsid w:val="00977950"/>
    <w:rsid w:val="009800B9"/>
    <w:rsid w:val="0098014C"/>
    <w:rsid w:val="00980575"/>
    <w:rsid w:val="009805F7"/>
    <w:rsid w:val="009807C9"/>
    <w:rsid w:val="00980BBD"/>
    <w:rsid w:val="00980F56"/>
    <w:rsid w:val="009812F9"/>
    <w:rsid w:val="00981829"/>
    <w:rsid w:val="009818E4"/>
    <w:rsid w:val="009818FE"/>
    <w:rsid w:val="00981A98"/>
    <w:rsid w:val="00981CEC"/>
    <w:rsid w:val="00981EB7"/>
    <w:rsid w:val="00981EBC"/>
    <w:rsid w:val="009826DA"/>
    <w:rsid w:val="00982FE2"/>
    <w:rsid w:val="009832CA"/>
    <w:rsid w:val="00983317"/>
    <w:rsid w:val="00983416"/>
    <w:rsid w:val="00983914"/>
    <w:rsid w:val="00983C59"/>
    <w:rsid w:val="00983D5D"/>
    <w:rsid w:val="00983DEA"/>
    <w:rsid w:val="00983EC7"/>
    <w:rsid w:val="00983F53"/>
    <w:rsid w:val="00983F9C"/>
    <w:rsid w:val="009844BD"/>
    <w:rsid w:val="00984FE8"/>
    <w:rsid w:val="0098502B"/>
    <w:rsid w:val="00985423"/>
    <w:rsid w:val="00985902"/>
    <w:rsid w:val="00985AEE"/>
    <w:rsid w:val="00985BEC"/>
    <w:rsid w:val="00985DAC"/>
    <w:rsid w:val="00986083"/>
    <w:rsid w:val="00986347"/>
    <w:rsid w:val="0098647F"/>
    <w:rsid w:val="00986842"/>
    <w:rsid w:val="009869D9"/>
    <w:rsid w:val="00986A4F"/>
    <w:rsid w:val="00987DBA"/>
    <w:rsid w:val="00990438"/>
    <w:rsid w:val="00990B74"/>
    <w:rsid w:val="00990E78"/>
    <w:rsid w:val="00991207"/>
    <w:rsid w:val="00991256"/>
    <w:rsid w:val="00991278"/>
    <w:rsid w:val="00991398"/>
    <w:rsid w:val="00991597"/>
    <w:rsid w:val="00991BA3"/>
    <w:rsid w:val="009920E6"/>
    <w:rsid w:val="00992363"/>
    <w:rsid w:val="009923F5"/>
    <w:rsid w:val="00992405"/>
    <w:rsid w:val="00992925"/>
    <w:rsid w:val="00992A1C"/>
    <w:rsid w:val="00992BD9"/>
    <w:rsid w:val="0099387B"/>
    <w:rsid w:val="00993911"/>
    <w:rsid w:val="00993AC6"/>
    <w:rsid w:val="00993CC6"/>
    <w:rsid w:val="00993D65"/>
    <w:rsid w:val="00993E1C"/>
    <w:rsid w:val="00993F61"/>
    <w:rsid w:val="00994C8B"/>
    <w:rsid w:val="00994F96"/>
    <w:rsid w:val="00994FB4"/>
    <w:rsid w:val="00995078"/>
    <w:rsid w:val="0099555B"/>
    <w:rsid w:val="00995CA6"/>
    <w:rsid w:val="0099622A"/>
    <w:rsid w:val="0099626F"/>
    <w:rsid w:val="00996626"/>
    <w:rsid w:val="00996AD4"/>
    <w:rsid w:val="00996DFA"/>
    <w:rsid w:val="00996E1E"/>
    <w:rsid w:val="00996FDE"/>
    <w:rsid w:val="00997479"/>
    <w:rsid w:val="009974CD"/>
    <w:rsid w:val="009A001B"/>
    <w:rsid w:val="009A0526"/>
    <w:rsid w:val="009A08CF"/>
    <w:rsid w:val="009A0CAE"/>
    <w:rsid w:val="009A0E50"/>
    <w:rsid w:val="009A0F05"/>
    <w:rsid w:val="009A136B"/>
    <w:rsid w:val="009A13EE"/>
    <w:rsid w:val="009A1632"/>
    <w:rsid w:val="009A1890"/>
    <w:rsid w:val="009A1D3C"/>
    <w:rsid w:val="009A1D3F"/>
    <w:rsid w:val="009A22BB"/>
    <w:rsid w:val="009A23A0"/>
    <w:rsid w:val="009A255A"/>
    <w:rsid w:val="009A2DCD"/>
    <w:rsid w:val="009A2E08"/>
    <w:rsid w:val="009A3013"/>
    <w:rsid w:val="009A3184"/>
    <w:rsid w:val="009A39AB"/>
    <w:rsid w:val="009A3F69"/>
    <w:rsid w:val="009A3F91"/>
    <w:rsid w:val="009A4053"/>
    <w:rsid w:val="009A4197"/>
    <w:rsid w:val="009A449D"/>
    <w:rsid w:val="009A44F0"/>
    <w:rsid w:val="009A4656"/>
    <w:rsid w:val="009A4A2B"/>
    <w:rsid w:val="009A4A39"/>
    <w:rsid w:val="009A4CA1"/>
    <w:rsid w:val="009A4D9B"/>
    <w:rsid w:val="009A4F9C"/>
    <w:rsid w:val="009A557A"/>
    <w:rsid w:val="009A57B2"/>
    <w:rsid w:val="009A5A1C"/>
    <w:rsid w:val="009A5C25"/>
    <w:rsid w:val="009A5FE1"/>
    <w:rsid w:val="009A613C"/>
    <w:rsid w:val="009A6289"/>
    <w:rsid w:val="009A6A4B"/>
    <w:rsid w:val="009A6A6E"/>
    <w:rsid w:val="009A72F1"/>
    <w:rsid w:val="009A7CDE"/>
    <w:rsid w:val="009A7E8F"/>
    <w:rsid w:val="009B0383"/>
    <w:rsid w:val="009B073E"/>
    <w:rsid w:val="009B0F58"/>
    <w:rsid w:val="009B0FD9"/>
    <w:rsid w:val="009B1530"/>
    <w:rsid w:val="009B1716"/>
    <w:rsid w:val="009B1D15"/>
    <w:rsid w:val="009B299A"/>
    <w:rsid w:val="009B29E6"/>
    <w:rsid w:val="009B2AFC"/>
    <w:rsid w:val="009B2C9E"/>
    <w:rsid w:val="009B2DC6"/>
    <w:rsid w:val="009B30D1"/>
    <w:rsid w:val="009B3580"/>
    <w:rsid w:val="009B3C19"/>
    <w:rsid w:val="009B3DB6"/>
    <w:rsid w:val="009B3EA3"/>
    <w:rsid w:val="009B4087"/>
    <w:rsid w:val="009B4230"/>
    <w:rsid w:val="009B4378"/>
    <w:rsid w:val="009B4815"/>
    <w:rsid w:val="009B4E51"/>
    <w:rsid w:val="009B4EDB"/>
    <w:rsid w:val="009B59B5"/>
    <w:rsid w:val="009B5B97"/>
    <w:rsid w:val="009B5C20"/>
    <w:rsid w:val="009B5C75"/>
    <w:rsid w:val="009B5CF6"/>
    <w:rsid w:val="009B5D75"/>
    <w:rsid w:val="009B5D7E"/>
    <w:rsid w:val="009B5E25"/>
    <w:rsid w:val="009B5ED9"/>
    <w:rsid w:val="009B5F8C"/>
    <w:rsid w:val="009B624A"/>
    <w:rsid w:val="009B63A5"/>
    <w:rsid w:val="009B6415"/>
    <w:rsid w:val="009B7026"/>
    <w:rsid w:val="009B78FA"/>
    <w:rsid w:val="009B797A"/>
    <w:rsid w:val="009C0158"/>
    <w:rsid w:val="009C04E9"/>
    <w:rsid w:val="009C0726"/>
    <w:rsid w:val="009C0AA8"/>
    <w:rsid w:val="009C10A2"/>
    <w:rsid w:val="009C11AE"/>
    <w:rsid w:val="009C1591"/>
    <w:rsid w:val="009C173C"/>
    <w:rsid w:val="009C1C0A"/>
    <w:rsid w:val="009C1D9D"/>
    <w:rsid w:val="009C1ED5"/>
    <w:rsid w:val="009C239C"/>
    <w:rsid w:val="009C2704"/>
    <w:rsid w:val="009C29C4"/>
    <w:rsid w:val="009C2EEA"/>
    <w:rsid w:val="009C33B2"/>
    <w:rsid w:val="009C375C"/>
    <w:rsid w:val="009C3A5F"/>
    <w:rsid w:val="009C3C0F"/>
    <w:rsid w:val="009C3C5A"/>
    <w:rsid w:val="009C4095"/>
    <w:rsid w:val="009C42A3"/>
    <w:rsid w:val="009C47CF"/>
    <w:rsid w:val="009C50E4"/>
    <w:rsid w:val="009C5141"/>
    <w:rsid w:val="009C5301"/>
    <w:rsid w:val="009C53AE"/>
    <w:rsid w:val="009C551F"/>
    <w:rsid w:val="009C5598"/>
    <w:rsid w:val="009C5B5C"/>
    <w:rsid w:val="009C5F2B"/>
    <w:rsid w:val="009C605F"/>
    <w:rsid w:val="009C61E0"/>
    <w:rsid w:val="009C63A5"/>
    <w:rsid w:val="009C63EA"/>
    <w:rsid w:val="009C6569"/>
    <w:rsid w:val="009C6614"/>
    <w:rsid w:val="009C6829"/>
    <w:rsid w:val="009C69A3"/>
    <w:rsid w:val="009C706A"/>
    <w:rsid w:val="009C7485"/>
    <w:rsid w:val="009C765D"/>
    <w:rsid w:val="009C78A0"/>
    <w:rsid w:val="009C7DB9"/>
    <w:rsid w:val="009C7E91"/>
    <w:rsid w:val="009D0120"/>
    <w:rsid w:val="009D0487"/>
    <w:rsid w:val="009D062B"/>
    <w:rsid w:val="009D0645"/>
    <w:rsid w:val="009D0757"/>
    <w:rsid w:val="009D0A70"/>
    <w:rsid w:val="009D0AA8"/>
    <w:rsid w:val="009D0AE3"/>
    <w:rsid w:val="009D129B"/>
    <w:rsid w:val="009D139A"/>
    <w:rsid w:val="009D149C"/>
    <w:rsid w:val="009D170E"/>
    <w:rsid w:val="009D1B13"/>
    <w:rsid w:val="009D233E"/>
    <w:rsid w:val="009D24E8"/>
    <w:rsid w:val="009D2AFE"/>
    <w:rsid w:val="009D2D62"/>
    <w:rsid w:val="009D3171"/>
    <w:rsid w:val="009D3530"/>
    <w:rsid w:val="009D390A"/>
    <w:rsid w:val="009D3CF3"/>
    <w:rsid w:val="009D3D83"/>
    <w:rsid w:val="009D4314"/>
    <w:rsid w:val="009D5033"/>
    <w:rsid w:val="009D51C2"/>
    <w:rsid w:val="009D5327"/>
    <w:rsid w:val="009D57EB"/>
    <w:rsid w:val="009D5A44"/>
    <w:rsid w:val="009D5D1C"/>
    <w:rsid w:val="009D5F86"/>
    <w:rsid w:val="009D6022"/>
    <w:rsid w:val="009D6BBE"/>
    <w:rsid w:val="009D6DDE"/>
    <w:rsid w:val="009D72DD"/>
    <w:rsid w:val="009D7323"/>
    <w:rsid w:val="009D7443"/>
    <w:rsid w:val="009D791D"/>
    <w:rsid w:val="009D7F12"/>
    <w:rsid w:val="009E003C"/>
    <w:rsid w:val="009E0260"/>
    <w:rsid w:val="009E06EC"/>
    <w:rsid w:val="009E0CBE"/>
    <w:rsid w:val="009E0E50"/>
    <w:rsid w:val="009E10CF"/>
    <w:rsid w:val="009E15A0"/>
    <w:rsid w:val="009E1700"/>
    <w:rsid w:val="009E1CAE"/>
    <w:rsid w:val="009E26B8"/>
    <w:rsid w:val="009E2DB1"/>
    <w:rsid w:val="009E304F"/>
    <w:rsid w:val="009E337B"/>
    <w:rsid w:val="009E337F"/>
    <w:rsid w:val="009E345D"/>
    <w:rsid w:val="009E3591"/>
    <w:rsid w:val="009E373F"/>
    <w:rsid w:val="009E3E76"/>
    <w:rsid w:val="009E415D"/>
    <w:rsid w:val="009E427E"/>
    <w:rsid w:val="009E4A74"/>
    <w:rsid w:val="009E4C0E"/>
    <w:rsid w:val="009E4C6F"/>
    <w:rsid w:val="009E4EAE"/>
    <w:rsid w:val="009E535E"/>
    <w:rsid w:val="009E5676"/>
    <w:rsid w:val="009E574E"/>
    <w:rsid w:val="009E57E1"/>
    <w:rsid w:val="009E599F"/>
    <w:rsid w:val="009E5EAF"/>
    <w:rsid w:val="009E608B"/>
    <w:rsid w:val="009E60AD"/>
    <w:rsid w:val="009E625E"/>
    <w:rsid w:val="009E69A8"/>
    <w:rsid w:val="009E6AAD"/>
    <w:rsid w:val="009E6D9C"/>
    <w:rsid w:val="009E6DC2"/>
    <w:rsid w:val="009E70E2"/>
    <w:rsid w:val="009E7504"/>
    <w:rsid w:val="009E77A7"/>
    <w:rsid w:val="009E783F"/>
    <w:rsid w:val="009E7CAC"/>
    <w:rsid w:val="009E7DA7"/>
    <w:rsid w:val="009F0085"/>
    <w:rsid w:val="009F06B6"/>
    <w:rsid w:val="009F06CD"/>
    <w:rsid w:val="009F0B62"/>
    <w:rsid w:val="009F0ED5"/>
    <w:rsid w:val="009F13AA"/>
    <w:rsid w:val="009F14BC"/>
    <w:rsid w:val="009F171C"/>
    <w:rsid w:val="009F20D8"/>
    <w:rsid w:val="009F2237"/>
    <w:rsid w:val="009F250E"/>
    <w:rsid w:val="009F266D"/>
    <w:rsid w:val="009F2A58"/>
    <w:rsid w:val="009F2BB5"/>
    <w:rsid w:val="009F329D"/>
    <w:rsid w:val="009F3BEE"/>
    <w:rsid w:val="009F3DFD"/>
    <w:rsid w:val="009F3F66"/>
    <w:rsid w:val="009F41B7"/>
    <w:rsid w:val="009F4E3A"/>
    <w:rsid w:val="009F530F"/>
    <w:rsid w:val="009F5367"/>
    <w:rsid w:val="009F57BE"/>
    <w:rsid w:val="009F57F6"/>
    <w:rsid w:val="009F582C"/>
    <w:rsid w:val="009F5E4A"/>
    <w:rsid w:val="009F5F0D"/>
    <w:rsid w:val="009F6120"/>
    <w:rsid w:val="009F62AD"/>
    <w:rsid w:val="009F62E9"/>
    <w:rsid w:val="009F63BD"/>
    <w:rsid w:val="009F64D2"/>
    <w:rsid w:val="009F69D8"/>
    <w:rsid w:val="009F6B49"/>
    <w:rsid w:val="009F70A4"/>
    <w:rsid w:val="009F7340"/>
    <w:rsid w:val="009F76EF"/>
    <w:rsid w:val="009F794F"/>
    <w:rsid w:val="009F7E9F"/>
    <w:rsid w:val="009F7F70"/>
    <w:rsid w:val="00A00100"/>
    <w:rsid w:val="00A00314"/>
    <w:rsid w:val="00A003FA"/>
    <w:rsid w:val="00A00510"/>
    <w:rsid w:val="00A007A8"/>
    <w:rsid w:val="00A00989"/>
    <w:rsid w:val="00A00D7D"/>
    <w:rsid w:val="00A00ED0"/>
    <w:rsid w:val="00A00EFB"/>
    <w:rsid w:val="00A01118"/>
    <w:rsid w:val="00A011A2"/>
    <w:rsid w:val="00A013D8"/>
    <w:rsid w:val="00A01A87"/>
    <w:rsid w:val="00A01EF4"/>
    <w:rsid w:val="00A01F0E"/>
    <w:rsid w:val="00A01FCF"/>
    <w:rsid w:val="00A0270A"/>
    <w:rsid w:val="00A027EA"/>
    <w:rsid w:val="00A02A8F"/>
    <w:rsid w:val="00A02ABD"/>
    <w:rsid w:val="00A02AE3"/>
    <w:rsid w:val="00A033AD"/>
    <w:rsid w:val="00A0366B"/>
    <w:rsid w:val="00A03873"/>
    <w:rsid w:val="00A03C18"/>
    <w:rsid w:val="00A03EDE"/>
    <w:rsid w:val="00A04237"/>
    <w:rsid w:val="00A0429A"/>
    <w:rsid w:val="00A0449F"/>
    <w:rsid w:val="00A04848"/>
    <w:rsid w:val="00A04921"/>
    <w:rsid w:val="00A0496A"/>
    <w:rsid w:val="00A04EA0"/>
    <w:rsid w:val="00A05352"/>
    <w:rsid w:val="00A0557A"/>
    <w:rsid w:val="00A05621"/>
    <w:rsid w:val="00A057AA"/>
    <w:rsid w:val="00A059E1"/>
    <w:rsid w:val="00A059E5"/>
    <w:rsid w:val="00A05E4D"/>
    <w:rsid w:val="00A05F6F"/>
    <w:rsid w:val="00A06092"/>
    <w:rsid w:val="00A060B9"/>
    <w:rsid w:val="00A060DE"/>
    <w:rsid w:val="00A060E4"/>
    <w:rsid w:val="00A06331"/>
    <w:rsid w:val="00A06616"/>
    <w:rsid w:val="00A06A27"/>
    <w:rsid w:val="00A06F5E"/>
    <w:rsid w:val="00A0714A"/>
    <w:rsid w:val="00A07699"/>
    <w:rsid w:val="00A07EEF"/>
    <w:rsid w:val="00A1003E"/>
    <w:rsid w:val="00A108CF"/>
    <w:rsid w:val="00A10C9B"/>
    <w:rsid w:val="00A10E00"/>
    <w:rsid w:val="00A1100E"/>
    <w:rsid w:val="00A1126E"/>
    <w:rsid w:val="00A112F6"/>
    <w:rsid w:val="00A1143B"/>
    <w:rsid w:val="00A1148B"/>
    <w:rsid w:val="00A11492"/>
    <w:rsid w:val="00A11B03"/>
    <w:rsid w:val="00A12131"/>
    <w:rsid w:val="00A1248D"/>
    <w:rsid w:val="00A124D3"/>
    <w:rsid w:val="00A12A58"/>
    <w:rsid w:val="00A12BFD"/>
    <w:rsid w:val="00A12C7E"/>
    <w:rsid w:val="00A12E16"/>
    <w:rsid w:val="00A130CC"/>
    <w:rsid w:val="00A131AB"/>
    <w:rsid w:val="00A133DC"/>
    <w:rsid w:val="00A13565"/>
    <w:rsid w:val="00A13DAA"/>
    <w:rsid w:val="00A13E82"/>
    <w:rsid w:val="00A13F58"/>
    <w:rsid w:val="00A14164"/>
    <w:rsid w:val="00A143A4"/>
    <w:rsid w:val="00A1484A"/>
    <w:rsid w:val="00A14949"/>
    <w:rsid w:val="00A14CC7"/>
    <w:rsid w:val="00A15305"/>
    <w:rsid w:val="00A154DD"/>
    <w:rsid w:val="00A15547"/>
    <w:rsid w:val="00A1554E"/>
    <w:rsid w:val="00A15BF3"/>
    <w:rsid w:val="00A160ED"/>
    <w:rsid w:val="00A16650"/>
    <w:rsid w:val="00A1675C"/>
    <w:rsid w:val="00A1732F"/>
    <w:rsid w:val="00A1760F"/>
    <w:rsid w:val="00A17906"/>
    <w:rsid w:val="00A179F1"/>
    <w:rsid w:val="00A17C7C"/>
    <w:rsid w:val="00A17DC9"/>
    <w:rsid w:val="00A17FA9"/>
    <w:rsid w:val="00A20608"/>
    <w:rsid w:val="00A20635"/>
    <w:rsid w:val="00A207FB"/>
    <w:rsid w:val="00A20839"/>
    <w:rsid w:val="00A20DB7"/>
    <w:rsid w:val="00A20E09"/>
    <w:rsid w:val="00A20EFB"/>
    <w:rsid w:val="00A20F47"/>
    <w:rsid w:val="00A21243"/>
    <w:rsid w:val="00A21696"/>
    <w:rsid w:val="00A2186A"/>
    <w:rsid w:val="00A218E6"/>
    <w:rsid w:val="00A21964"/>
    <w:rsid w:val="00A21B82"/>
    <w:rsid w:val="00A21F89"/>
    <w:rsid w:val="00A21F98"/>
    <w:rsid w:val="00A222C9"/>
    <w:rsid w:val="00A22E84"/>
    <w:rsid w:val="00A2382C"/>
    <w:rsid w:val="00A23A62"/>
    <w:rsid w:val="00A23FEF"/>
    <w:rsid w:val="00A2423D"/>
    <w:rsid w:val="00A242B8"/>
    <w:rsid w:val="00A245FF"/>
    <w:rsid w:val="00A24C99"/>
    <w:rsid w:val="00A24E27"/>
    <w:rsid w:val="00A24FFD"/>
    <w:rsid w:val="00A25867"/>
    <w:rsid w:val="00A2596D"/>
    <w:rsid w:val="00A25A2F"/>
    <w:rsid w:val="00A25A88"/>
    <w:rsid w:val="00A25BE5"/>
    <w:rsid w:val="00A25CCF"/>
    <w:rsid w:val="00A2600E"/>
    <w:rsid w:val="00A261C5"/>
    <w:rsid w:val="00A263AE"/>
    <w:rsid w:val="00A2735A"/>
    <w:rsid w:val="00A27364"/>
    <w:rsid w:val="00A27648"/>
    <w:rsid w:val="00A276B2"/>
    <w:rsid w:val="00A27928"/>
    <w:rsid w:val="00A27BFD"/>
    <w:rsid w:val="00A27D3B"/>
    <w:rsid w:val="00A27E83"/>
    <w:rsid w:val="00A27EF9"/>
    <w:rsid w:val="00A27FAC"/>
    <w:rsid w:val="00A304BA"/>
    <w:rsid w:val="00A3078E"/>
    <w:rsid w:val="00A30CA5"/>
    <w:rsid w:val="00A30E7F"/>
    <w:rsid w:val="00A30FE8"/>
    <w:rsid w:val="00A31636"/>
    <w:rsid w:val="00A3177E"/>
    <w:rsid w:val="00A31B35"/>
    <w:rsid w:val="00A32009"/>
    <w:rsid w:val="00A32276"/>
    <w:rsid w:val="00A3262E"/>
    <w:rsid w:val="00A32A0B"/>
    <w:rsid w:val="00A32B07"/>
    <w:rsid w:val="00A32BE4"/>
    <w:rsid w:val="00A33110"/>
    <w:rsid w:val="00A3348B"/>
    <w:rsid w:val="00A33904"/>
    <w:rsid w:val="00A33B5E"/>
    <w:rsid w:val="00A33D7E"/>
    <w:rsid w:val="00A34332"/>
    <w:rsid w:val="00A347A7"/>
    <w:rsid w:val="00A34820"/>
    <w:rsid w:val="00A353A1"/>
    <w:rsid w:val="00A358E3"/>
    <w:rsid w:val="00A3595D"/>
    <w:rsid w:val="00A35A27"/>
    <w:rsid w:val="00A35C52"/>
    <w:rsid w:val="00A35DCA"/>
    <w:rsid w:val="00A36786"/>
    <w:rsid w:val="00A36895"/>
    <w:rsid w:val="00A36CD6"/>
    <w:rsid w:val="00A36D73"/>
    <w:rsid w:val="00A37171"/>
    <w:rsid w:val="00A3774A"/>
    <w:rsid w:val="00A379D1"/>
    <w:rsid w:val="00A37F9D"/>
    <w:rsid w:val="00A4024C"/>
    <w:rsid w:val="00A40684"/>
    <w:rsid w:val="00A407BB"/>
    <w:rsid w:val="00A4084E"/>
    <w:rsid w:val="00A40A80"/>
    <w:rsid w:val="00A4135A"/>
    <w:rsid w:val="00A413CF"/>
    <w:rsid w:val="00A4173D"/>
    <w:rsid w:val="00A4174B"/>
    <w:rsid w:val="00A41D0D"/>
    <w:rsid w:val="00A422D1"/>
    <w:rsid w:val="00A422DF"/>
    <w:rsid w:val="00A4275B"/>
    <w:rsid w:val="00A427AA"/>
    <w:rsid w:val="00A431A9"/>
    <w:rsid w:val="00A43306"/>
    <w:rsid w:val="00A435DF"/>
    <w:rsid w:val="00A43E2E"/>
    <w:rsid w:val="00A441E4"/>
    <w:rsid w:val="00A44268"/>
    <w:rsid w:val="00A44506"/>
    <w:rsid w:val="00A4474A"/>
    <w:rsid w:val="00A449A2"/>
    <w:rsid w:val="00A44A6A"/>
    <w:rsid w:val="00A44F62"/>
    <w:rsid w:val="00A44F89"/>
    <w:rsid w:val="00A45218"/>
    <w:rsid w:val="00A4536E"/>
    <w:rsid w:val="00A45C67"/>
    <w:rsid w:val="00A45C92"/>
    <w:rsid w:val="00A45E24"/>
    <w:rsid w:val="00A45E26"/>
    <w:rsid w:val="00A462DD"/>
    <w:rsid w:val="00A46AA1"/>
    <w:rsid w:val="00A46B6A"/>
    <w:rsid w:val="00A47135"/>
    <w:rsid w:val="00A47274"/>
    <w:rsid w:val="00A474B6"/>
    <w:rsid w:val="00A4753D"/>
    <w:rsid w:val="00A47BC7"/>
    <w:rsid w:val="00A5002D"/>
    <w:rsid w:val="00A50090"/>
    <w:rsid w:val="00A502D7"/>
    <w:rsid w:val="00A503F3"/>
    <w:rsid w:val="00A504D8"/>
    <w:rsid w:val="00A506CA"/>
    <w:rsid w:val="00A506CB"/>
    <w:rsid w:val="00A50AAD"/>
    <w:rsid w:val="00A50BA9"/>
    <w:rsid w:val="00A50FAC"/>
    <w:rsid w:val="00A510F9"/>
    <w:rsid w:val="00A51209"/>
    <w:rsid w:val="00A512B4"/>
    <w:rsid w:val="00A513D3"/>
    <w:rsid w:val="00A516C5"/>
    <w:rsid w:val="00A519D2"/>
    <w:rsid w:val="00A51C05"/>
    <w:rsid w:val="00A51E57"/>
    <w:rsid w:val="00A52013"/>
    <w:rsid w:val="00A520C9"/>
    <w:rsid w:val="00A521D5"/>
    <w:rsid w:val="00A52484"/>
    <w:rsid w:val="00A52568"/>
    <w:rsid w:val="00A526EB"/>
    <w:rsid w:val="00A529F5"/>
    <w:rsid w:val="00A52BF3"/>
    <w:rsid w:val="00A531AB"/>
    <w:rsid w:val="00A535FF"/>
    <w:rsid w:val="00A53945"/>
    <w:rsid w:val="00A53EE2"/>
    <w:rsid w:val="00A540ED"/>
    <w:rsid w:val="00A540F4"/>
    <w:rsid w:val="00A54369"/>
    <w:rsid w:val="00A54865"/>
    <w:rsid w:val="00A54A34"/>
    <w:rsid w:val="00A54B47"/>
    <w:rsid w:val="00A54DCC"/>
    <w:rsid w:val="00A54FF5"/>
    <w:rsid w:val="00A55547"/>
    <w:rsid w:val="00A55579"/>
    <w:rsid w:val="00A5596A"/>
    <w:rsid w:val="00A56146"/>
    <w:rsid w:val="00A56384"/>
    <w:rsid w:val="00A568CB"/>
    <w:rsid w:val="00A56A31"/>
    <w:rsid w:val="00A56B5B"/>
    <w:rsid w:val="00A56C54"/>
    <w:rsid w:val="00A56FFB"/>
    <w:rsid w:val="00A57128"/>
    <w:rsid w:val="00A57638"/>
    <w:rsid w:val="00A577F6"/>
    <w:rsid w:val="00A57B84"/>
    <w:rsid w:val="00A57BAD"/>
    <w:rsid w:val="00A57F5F"/>
    <w:rsid w:val="00A608B7"/>
    <w:rsid w:val="00A60ACA"/>
    <w:rsid w:val="00A60F07"/>
    <w:rsid w:val="00A612ED"/>
    <w:rsid w:val="00A6210C"/>
    <w:rsid w:val="00A62171"/>
    <w:rsid w:val="00A622F5"/>
    <w:rsid w:val="00A6308E"/>
    <w:rsid w:val="00A637D4"/>
    <w:rsid w:val="00A637FD"/>
    <w:rsid w:val="00A64996"/>
    <w:rsid w:val="00A64B7E"/>
    <w:rsid w:val="00A64B81"/>
    <w:rsid w:val="00A64CA8"/>
    <w:rsid w:val="00A650A2"/>
    <w:rsid w:val="00A651B9"/>
    <w:rsid w:val="00A65418"/>
    <w:rsid w:val="00A65A1D"/>
    <w:rsid w:val="00A65A69"/>
    <w:rsid w:val="00A65D28"/>
    <w:rsid w:val="00A6641E"/>
    <w:rsid w:val="00A6657A"/>
    <w:rsid w:val="00A66844"/>
    <w:rsid w:val="00A6715E"/>
    <w:rsid w:val="00A673D5"/>
    <w:rsid w:val="00A675D9"/>
    <w:rsid w:val="00A67646"/>
    <w:rsid w:val="00A6777A"/>
    <w:rsid w:val="00A67A30"/>
    <w:rsid w:val="00A67C66"/>
    <w:rsid w:val="00A702E7"/>
    <w:rsid w:val="00A702E9"/>
    <w:rsid w:val="00A705D6"/>
    <w:rsid w:val="00A7090F"/>
    <w:rsid w:val="00A70DD3"/>
    <w:rsid w:val="00A71067"/>
    <w:rsid w:val="00A7108E"/>
    <w:rsid w:val="00A710B8"/>
    <w:rsid w:val="00A71102"/>
    <w:rsid w:val="00A71113"/>
    <w:rsid w:val="00A711ED"/>
    <w:rsid w:val="00A714B6"/>
    <w:rsid w:val="00A715DC"/>
    <w:rsid w:val="00A71B37"/>
    <w:rsid w:val="00A71BC9"/>
    <w:rsid w:val="00A71C99"/>
    <w:rsid w:val="00A71CB0"/>
    <w:rsid w:val="00A71D50"/>
    <w:rsid w:val="00A721B0"/>
    <w:rsid w:val="00A72BA6"/>
    <w:rsid w:val="00A72F47"/>
    <w:rsid w:val="00A73095"/>
    <w:rsid w:val="00A73119"/>
    <w:rsid w:val="00A739F5"/>
    <w:rsid w:val="00A74584"/>
    <w:rsid w:val="00A746C9"/>
    <w:rsid w:val="00A747F0"/>
    <w:rsid w:val="00A7481D"/>
    <w:rsid w:val="00A74E92"/>
    <w:rsid w:val="00A7589B"/>
    <w:rsid w:val="00A75A42"/>
    <w:rsid w:val="00A7607D"/>
    <w:rsid w:val="00A76146"/>
    <w:rsid w:val="00A7686E"/>
    <w:rsid w:val="00A7689F"/>
    <w:rsid w:val="00A76907"/>
    <w:rsid w:val="00A76A1F"/>
    <w:rsid w:val="00A76AB5"/>
    <w:rsid w:val="00A76E7D"/>
    <w:rsid w:val="00A779E5"/>
    <w:rsid w:val="00A77A05"/>
    <w:rsid w:val="00A77A88"/>
    <w:rsid w:val="00A77BD6"/>
    <w:rsid w:val="00A77DA7"/>
    <w:rsid w:val="00A8006D"/>
    <w:rsid w:val="00A80166"/>
    <w:rsid w:val="00A807DB"/>
    <w:rsid w:val="00A80805"/>
    <w:rsid w:val="00A808D1"/>
    <w:rsid w:val="00A80BFE"/>
    <w:rsid w:val="00A80C23"/>
    <w:rsid w:val="00A80E6B"/>
    <w:rsid w:val="00A8122E"/>
    <w:rsid w:val="00A814D0"/>
    <w:rsid w:val="00A817EF"/>
    <w:rsid w:val="00A8185A"/>
    <w:rsid w:val="00A81892"/>
    <w:rsid w:val="00A8223D"/>
    <w:rsid w:val="00A82570"/>
    <w:rsid w:val="00A825AD"/>
    <w:rsid w:val="00A826A2"/>
    <w:rsid w:val="00A82902"/>
    <w:rsid w:val="00A82A5F"/>
    <w:rsid w:val="00A82F91"/>
    <w:rsid w:val="00A8346A"/>
    <w:rsid w:val="00A8364C"/>
    <w:rsid w:val="00A83E78"/>
    <w:rsid w:val="00A83FCB"/>
    <w:rsid w:val="00A84130"/>
    <w:rsid w:val="00A84EF4"/>
    <w:rsid w:val="00A85243"/>
    <w:rsid w:val="00A85562"/>
    <w:rsid w:val="00A856F1"/>
    <w:rsid w:val="00A858DF"/>
    <w:rsid w:val="00A85CF1"/>
    <w:rsid w:val="00A860E8"/>
    <w:rsid w:val="00A8641C"/>
    <w:rsid w:val="00A8645E"/>
    <w:rsid w:val="00A868E8"/>
    <w:rsid w:val="00A8698A"/>
    <w:rsid w:val="00A86D92"/>
    <w:rsid w:val="00A86F63"/>
    <w:rsid w:val="00A87524"/>
    <w:rsid w:val="00A87546"/>
    <w:rsid w:val="00A8794D"/>
    <w:rsid w:val="00A87A0B"/>
    <w:rsid w:val="00A87BD6"/>
    <w:rsid w:val="00A87F41"/>
    <w:rsid w:val="00A90091"/>
    <w:rsid w:val="00A9053F"/>
    <w:rsid w:val="00A90603"/>
    <w:rsid w:val="00A91552"/>
    <w:rsid w:val="00A91D87"/>
    <w:rsid w:val="00A91E69"/>
    <w:rsid w:val="00A91F57"/>
    <w:rsid w:val="00A92456"/>
    <w:rsid w:val="00A92749"/>
    <w:rsid w:val="00A92950"/>
    <w:rsid w:val="00A929D2"/>
    <w:rsid w:val="00A92C7D"/>
    <w:rsid w:val="00A92D97"/>
    <w:rsid w:val="00A92DA9"/>
    <w:rsid w:val="00A92E60"/>
    <w:rsid w:val="00A932D4"/>
    <w:rsid w:val="00A93375"/>
    <w:rsid w:val="00A93587"/>
    <w:rsid w:val="00A93634"/>
    <w:rsid w:val="00A93BBD"/>
    <w:rsid w:val="00A93C5A"/>
    <w:rsid w:val="00A93ED2"/>
    <w:rsid w:val="00A94357"/>
    <w:rsid w:val="00A94860"/>
    <w:rsid w:val="00A94A8A"/>
    <w:rsid w:val="00A950D1"/>
    <w:rsid w:val="00A950ED"/>
    <w:rsid w:val="00A95497"/>
    <w:rsid w:val="00A95839"/>
    <w:rsid w:val="00A95A29"/>
    <w:rsid w:val="00A96492"/>
    <w:rsid w:val="00A96FAA"/>
    <w:rsid w:val="00A971DB"/>
    <w:rsid w:val="00A972F8"/>
    <w:rsid w:val="00A9788F"/>
    <w:rsid w:val="00A979E2"/>
    <w:rsid w:val="00A97A0C"/>
    <w:rsid w:val="00A97A44"/>
    <w:rsid w:val="00A97C20"/>
    <w:rsid w:val="00AA01FA"/>
    <w:rsid w:val="00AA02D4"/>
    <w:rsid w:val="00AA0644"/>
    <w:rsid w:val="00AA0AA6"/>
    <w:rsid w:val="00AA0B5E"/>
    <w:rsid w:val="00AA20E0"/>
    <w:rsid w:val="00AA2989"/>
    <w:rsid w:val="00AA2A2E"/>
    <w:rsid w:val="00AA2EE2"/>
    <w:rsid w:val="00AA2F75"/>
    <w:rsid w:val="00AA326E"/>
    <w:rsid w:val="00AA32F2"/>
    <w:rsid w:val="00AA342A"/>
    <w:rsid w:val="00AA36D6"/>
    <w:rsid w:val="00AA395C"/>
    <w:rsid w:val="00AA43D1"/>
    <w:rsid w:val="00AA4671"/>
    <w:rsid w:val="00AA4709"/>
    <w:rsid w:val="00AA49B0"/>
    <w:rsid w:val="00AA4B42"/>
    <w:rsid w:val="00AA517D"/>
    <w:rsid w:val="00AA532D"/>
    <w:rsid w:val="00AA53FD"/>
    <w:rsid w:val="00AA594C"/>
    <w:rsid w:val="00AA5D24"/>
    <w:rsid w:val="00AA5FD2"/>
    <w:rsid w:val="00AA606F"/>
    <w:rsid w:val="00AA614B"/>
    <w:rsid w:val="00AA63B1"/>
    <w:rsid w:val="00AA652D"/>
    <w:rsid w:val="00AA672B"/>
    <w:rsid w:val="00AA6C84"/>
    <w:rsid w:val="00AA7159"/>
    <w:rsid w:val="00AA728B"/>
    <w:rsid w:val="00AA749F"/>
    <w:rsid w:val="00AA74C2"/>
    <w:rsid w:val="00AA7586"/>
    <w:rsid w:val="00AA793B"/>
    <w:rsid w:val="00AA7998"/>
    <w:rsid w:val="00AA7EDE"/>
    <w:rsid w:val="00AB053E"/>
    <w:rsid w:val="00AB076F"/>
    <w:rsid w:val="00AB0832"/>
    <w:rsid w:val="00AB0DA1"/>
    <w:rsid w:val="00AB0E3D"/>
    <w:rsid w:val="00AB14CD"/>
    <w:rsid w:val="00AB171B"/>
    <w:rsid w:val="00AB1BF4"/>
    <w:rsid w:val="00AB23C3"/>
    <w:rsid w:val="00AB246D"/>
    <w:rsid w:val="00AB292E"/>
    <w:rsid w:val="00AB2E75"/>
    <w:rsid w:val="00AB2FA8"/>
    <w:rsid w:val="00AB317F"/>
    <w:rsid w:val="00AB31AC"/>
    <w:rsid w:val="00AB335B"/>
    <w:rsid w:val="00AB3B73"/>
    <w:rsid w:val="00AB3FB8"/>
    <w:rsid w:val="00AB405E"/>
    <w:rsid w:val="00AB4A95"/>
    <w:rsid w:val="00AB4ADB"/>
    <w:rsid w:val="00AB5097"/>
    <w:rsid w:val="00AB51B0"/>
    <w:rsid w:val="00AB5453"/>
    <w:rsid w:val="00AB5467"/>
    <w:rsid w:val="00AB56C5"/>
    <w:rsid w:val="00AB57DC"/>
    <w:rsid w:val="00AB59ED"/>
    <w:rsid w:val="00AB60A4"/>
    <w:rsid w:val="00AB6183"/>
    <w:rsid w:val="00AB6680"/>
    <w:rsid w:val="00AB66A7"/>
    <w:rsid w:val="00AB6A7D"/>
    <w:rsid w:val="00AB6CC2"/>
    <w:rsid w:val="00AB7470"/>
    <w:rsid w:val="00AB74EA"/>
    <w:rsid w:val="00AB776A"/>
    <w:rsid w:val="00AB799E"/>
    <w:rsid w:val="00AB7BFE"/>
    <w:rsid w:val="00AB7D06"/>
    <w:rsid w:val="00AC005E"/>
    <w:rsid w:val="00AC019F"/>
    <w:rsid w:val="00AC02F6"/>
    <w:rsid w:val="00AC0657"/>
    <w:rsid w:val="00AC084D"/>
    <w:rsid w:val="00AC118F"/>
    <w:rsid w:val="00AC1A80"/>
    <w:rsid w:val="00AC1BC5"/>
    <w:rsid w:val="00AC1E81"/>
    <w:rsid w:val="00AC2088"/>
    <w:rsid w:val="00AC2203"/>
    <w:rsid w:val="00AC27E7"/>
    <w:rsid w:val="00AC29D6"/>
    <w:rsid w:val="00AC2A53"/>
    <w:rsid w:val="00AC2C4B"/>
    <w:rsid w:val="00AC2EC0"/>
    <w:rsid w:val="00AC2EE9"/>
    <w:rsid w:val="00AC3AD0"/>
    <w:rsid w:val="00AC3B98"/>
    <w:rsid w:val="00AC3F96"/>
    <w:rsid w:val="00AC4310"/>
    <w:rsid w:val="00AC4801"/>
    <w:rsid w:val="00AC4843"/>
    <w:rsid w:val="00AC48BC"/>
    <w:rsid w:val="00AC4A4D"/>
    <w:rsid w:val="00AC4AEC"/>
    <w:rsid w:val="00AC4E45"/>
    <w:rsid w:val="00AC5171"/>
    <w:rsid w:val="00AC5410"/>
    <w:rsid w:val="00AC5690"/>
    <w:rsid w:val="00AC5AF2"/>
    <w:rsid w:val="00AC61AA"/>
    <w:rsid w:val="00AC637B"/>
    <w:rsid w:val="00AC64BE"/>
    <w:rsid w:val="00AC6770"/>
    <w:rsid w:val="00AC6826"/>
    <w:rsid w:val="00AC6854"/>
    <w:rsid w:val="00AC6EE3"/>
    <w:rsid w:val="00AC7291"/>
    <w:rsid w:val="00AC746B"/>
    <w:rsid w:val="00AC75AA"/>
    <w:rsid w:val="00AC76DE"/>
    <w:rsid w:val="00AC7A59"/>
    <w:rsid w:val="00AC7BD1"/>
    <w:rsid w:val="00AC7FAB"/>
    <w:rsid w:val="00AD01B0"/>
    <w:rsid w:val="00AD037A"/>
    <w:rsid w:val="00AD0446"/>
    <w:rsid w:val="00AD0687"/>
    <w:rsid w:val="00AD1048"/>
    <w:rsid w:val="00AD18D3"/>
    <w:rsid w:val="00AD198B"/>
    <w:rsid w:val="00AD1CD3"/>
    <w:rsid w:val="00AD1D9A"/>
    <w:rsid w:val="00AD2030"/>
    <w:rsid w:val="00AD2240"/>
    <w:rsid w:val="00AD23B0"/>
    <w:rsid w:val="00AD24CF"/>
    <w:rsid w:val="00AD258F"/>
    <w:rsid w:val="00AD292E"/>
    <w:rsid w:val="00AD34CB"/>
    <w:rsid w:val="00AD3ABB"/>
    <w:rsid w:val="00AD3B1D"/>
    <w:rsid w:val="00AD3FC4"/>
    <w:rsid w:val="00AD4787"/>
    <w:rsid w:val="00AD49A7"/>
    <w:rsid w:val="00AD4E87"/>
    <w:rsid w:val="00AD5249"/>
    <w:rsid w:val="00AD56A3"/>
    <w:rsid w:val="00AD5AEE"/>
    <w:rsid w:val="00AD5B26"/>
    <w:rsid w:val="00AD5C94"/>
    <w:rsid w:val="00AD5FB5"/>
    <w:rsid w:val="00AD62D9"/>
    <w:rsid w:val="00AD65CE"/>
    <w:rsid w:val="00AD6600"/>
    <w:rsid w:val="00AD68F5"/>
    <w:rsid w:val="00AD6D02"/>
    <w:rsid w:val="00AD6DC0"/>
    <w:rsid w:val="00AD7AB7"/>
    <w:rsid w:val="00AD7CE1"/>
    <w:rsid w:val="00AE029F"/>
    <w:rsid w:val="00AE02D6"/>
    <w:rsid w:val="00AE03CE"/>
    <w:rsid w:val="00AE0D06"/>
    <w:rsid w:val="00AE0EC1"/>
    <w:rsid w:val="00AE1295"/>
    <w:rsid w:val="00AE138A"/>
    <w:rsid w:val="00AE1AAE"/>
    <w:rsid w:val="00AE1ECD"/>
    <w:rsid w:val="00AE1F22"/>
    <w:rsid w:val="00AE1F5B"/>
    <w:rsid w:val="00AE1FE7"/>
    <w:rsid w:val="00AE281D"/>
    <w:rsid w:val="00AE2A02"/>
    <w:rsid w:val="00AE30EF"/>
    <w:rsid w:val="00AE344D"/>
    <w:rsid w:val="00AE4165"/>
    <w:rsid w:val="00AE4432"/>
    <w:rsid w:val="00AE4845"/>
    <w:rsid w:val="00AE4BA4"/>
    <w:rsid w:val="00AE4EC7"/>
    <w:rsid w:val="00AE5008"/>
    <w:rsid w:val="00AE521A"/>
    <w:rsid w:val="00AE5603"/>
    <w:rsid w:val="00AE5A8E"/>
    <w:rsid w:val="00AE5C6D"/>
    <w:rsid w:val="00AE5E01"/>
    <w:rsid w:val="00AE631D"/>
    <w:rsid w:val="00AE63D6"/>
    <w:rsid w:val="00AE648D"/>
    <w:rsid w:val="00AE6984"/>
    <w:rsid w:val="00AE6A43"/>
    <w:rsid w:val="00AE6A8F"/>
    <w:rsid w:val="00AE6DB7"/>
    <w:rsid w:val="00AE715B"/>
    <w:rsid w:val="00AE72CF"/>
    <w:rsid w:val="00AE73A2"/>
    <w:rsid w:val="00AE75FE"/>
    <w:rsid w:val="00AE7664"/>
    <w:rsid w:val="00AE772E"/>
    <w:rsid w:val="00AE7740"/>
    <w:rsid w:val="00AE79BB"/>
    <w:rsid w:val="00AE7EAC"/>
    <w:rsid w:val="00AF031D"/>
    <w:rsid w:val="00AF03B5"/>
    <w:rsid w:val="00AF05AC"/>
    <w:rsid w:val="00AF067E"/>
    <w:rsid w:val="00AF09EB"/>
    <w:rsid w:val="00AF09F5"/>
    <w:rsid w:val="00AF0B0E"/>
    <w:rsid w:val="00AF0D0C"/>
    <w:rsid w:val="00AF0E76"/>
    <w:rsid w:val="00AF14DB"/>
    <w:rsid w:val="00AF170D"/>
    <w:rsid w:val="00AF184B"/>
    <w:rsid w:val="00AF1D89"/>
    <w:rsid w:val="00AF1F37"/>
    <w:rsid w:val="00AF222B"/>
    <w:rsid w:val="00AF26B4"/>
    <w:rsid w:val="00AF2928"/>
    <w:rsid w:val="00AF2AF5"/>
    <w:rsid w:val="00AF2C7E"/>
    <w:rsid w:val="00AF2CE6"/>
    <w:rsid w:val="00AF2D42"/>
    <w:rsid w:val="00AF35C7"/>
    <w:rsid w:val="00AF3BD2"/>
    <w:rsid w:val="00AF3EA8"/>
    <w:rsid w:val="00AF4021"/>
    <w:rsid w:val="00AF4273"/>
    <w:rsid w:val="00AF42B2"/>
    <w:rsid w:val="00AF43CE"/>
    <w:rsid w:val="00AF5118"/>
    <w:rsid w:val="00AF56C0"/>
    <w:rsid w:val="00AF56D7"/>
    <w:rsid w:val="00AF58B3"/>
    <w:rsid w:val="00AF6046"/>
    <w:rsid w:val="00AF61C3"/>
    <w:rsid w:val="00AF64C3"/>
    <w:rsid w:val="00AF64F9"/>
    <w:rsid w:val="00AF6604"/>
    <w:rsid w:val="00AF6753"/>
    <w:rsid w:val="00AF6C84"/>
    <w:rsid w:val="00AF7017"/>
    <w:rsid w:val="00AF7088"/>
    <w:rsid w:val="00AF7206"/>
    <w:rsid w:val="00AF75CD"/>
    <w:rsid w:val="00AF765B"/>
    <w:rsid w:val="00AF78ED"/>
    <w:rsid w:val="00AF7C62"/>
    <w:rsid w:val="00AF7F67"/>
    <w:rsid w:val="00B005D2"/>
    <w:rsid w:val="00B00706"/>
    <w:rsid w:val="00B00A80"/>
    <w:rsid w:val="00B00D73"/>
    <w:rsid w:val="00B011D8"/>
    <w:rsid w:val="00B017F4"/>
    <w:rsid w:val="00B01AB3"/>
    <w:rsid w:val="00B01DD7"/>
    <w:rsid w:val="00B01E92"/>
    <w:rsid w:val="00B01F8D"/>
    <w:rsid w:val="00B02347"/>
    <w:rsid w:val="00B03148"/>
    <w:rsid w:val="00B03839"/>
    <w:rsid w:val="00B03DE3"/>
    <w:rsid w:val="00B042DA"/>
    <w:rsid w:val="00B043EE"/>
    <w:rsid w:val="00B045F8"/>
    <w:rsid w:val="00B04635"/>
    <w:rsid w:val="00B04B08"/>
    <w:rsid w:val="00B04B1F"/>
    <w:rsid w:val="00B04F80"/>
    <w:rsid w:val="00B05046"/>
    <w:rsid w:val="00B050B9"/>
    <w:rsid w:val="00B054C3"/>
    <w:rsid w:val="00B054F9"/>
    <w:rsid w:val="00B055B5"/>
    <w:rsid w:val="00B055C1"/>
    <w:rsid w:val="00B057C5"/>
    <w:rsid w:val="00B06536"/>
    <w:rsid w:val="00B0691B"/>
    <w:rsid w:val="00B06A94"/>
    <w:rsid w:val="00B06AEA"/>
    <w:rsid w:val="00B06C04"/>
    <w:rsid w:val="00B06CD1"/>
    <w:rsid w:val="00B0702E"/>
    <w:rsid w:val="00B073B1"/>
    <w:rsid w:val="00B07596"/>
    <w:rsid w:val="00B0797A"/>
    <w:rsid w:val="00B07AC9"/>
    <w:rsid w:val="00B07FAF"/>
    <w:rsid w:val="00B10DEB"/>
    <w:rsid w:val="00B10FF0"/>
    <w:rsid w:val="00B11000"/>
    <w:rsid w:val="00B11052"/>
    <w:rsid w:val="00B112F6"/>
    <w:rsid w:val="00B11590"/>
    <w:rsid w:val="00B11B53"/>
    <w:rsid w:val="00B11CBB"/>
    <w:rsid w:val="00B11D32"/>
    <w:rsid w:val="00B11F52"/>
    <w:rsid w:val="00B11F6D"/>
    <w:rsid w:val="00B12154"/>
    <w:rsid w:val="00B12869"/>
    <w:rsid w:val="00B1288F"/>
    <w:rsid w:val="00B1292A"/>
    <w:rsid w:val="00B12C20"/>
    <w:rsid w:val="00B1305B"/>
    <w:rsid w:val="00B1339A"/>
    <w:rsid w:val="00B136D1"/>
    <w:rsid w:val="00B14161"/>
    <w:rsid w:val="00B1433C"/>
    <w:rsid w:val="00B14355"/>
    <w:rsid w:val="00B14475"/>
    <w:rsid w:val="00B14DE6"/>
    <w:rsid w:val="00B14E34"/>
    <w:rsid w:val="00B14E55"/>
    <w:rsid w:val="00B14F69"/>
    <w:rsid w:val="00B15053"/>
    <w:rsid w:val="00B1558B"/>
    <w:rsid w:val="00B15FA0"/>
    <w:rsid w:val="00B160FA"/>
    <w:rsid w:val="00B16403"/>
    <w:rsid w:val="00B16577"/>
    <w:rsid w:val="00B170DE"/>
    <w:rsid w:val="00B17152"/>
    <w:rsid w:val="00B17508"/>
    <w:rsid w:val="00B177E3"/>
    <w:rsid w:val="00B17A48"/>
    <w:rsid w:val="00B17D4D"/>
    <w:rsid w:val="00B17D83"/>
    <w:rsid w:val="00B17FD5"/>
    <w:rsid w:val="00B2039F"/>
    <w:rsid w:val="00B204BC"/>
    <w:rsid w:val="00B20632"/>
    <w:rsid w:val="00B20ADD"/>
    <w:rsid w:val="00B20CBC"/>
    <w:rsid w:val="00B20DE2"/>
    <w:rsid w:val="00B21031"/>
    <w:rsid w:val="00B211B1"/>
    <w:rsid w:val="00B21582"/>
    <w:rsid w:val="00B2170B"/>
    <w:rsid w:val="00B21889"/>
    <w:rsid w:val="00B218FF"/>
    <w:rsid w:val="00B21E20"/>
    <w:rsid w:val="00B21EC2"/>
    <w:rsid w:val="00B2226E"/>
    <w:rsid w:val="00B224E8"/>
    <w:rsid w:val="00B22C8F"/>
    <w:rsid w:val="00B22CD5"/>
    <w:rsid w:val="00B22F58"/>
    <w:rsid w:val="00B2303F"/>
    <w:rsid w:val="00B230C5"/>
    <w:rsid w:val="00B231C8"/>
    <w:rsid w:val="00B23620"/>
    <w:rsid w:val="00B23A0C"/>
    <w:rsid w:val="00B24276"/>
    <w:rsid w:val="00B24BC4"/>
    <w:rsid w:val="00B24DB1"/>
    <w:rsid w:val="00B250B7"/>
    <w:rsid w:val="00B251BA"/>
    <w:rsid w:val="00B25332"/>
    <w:rsid w:val="00B25636"/>
    <w:rsid w:val="00B25897"/>
    <w:rsid w:val="00B25967"/>
    <w:rsid w:val="00B259C6"/>
    <w:rsid w:val="00B25A74"/>
    <w:rsid w:val="00B2622C"/>
    <w:rsid w:val="00B26259"/>
    <w:rsid w:val="00B26AD2"/>
    <w:rsid w:val="00B26CA4"/>
    <w:rsid w:val="00B26CC8"/>
    <w:rsid w:val="00B274D5"/>
    <w:rsid w:val="00B27603"/>
    <w:rsid w:val="00B277DA"/>
    <w:rsid w:val="00B3025E"/>
    <w:rsid w:val="00B3088F"/>
    <w:rsid w:val="00B31779"/>
    <w:rsid w:val="00B318F8"/>
    <w:rsid w:val="00B31EB3"/>
    <w:rsid w:val="00B31EC7"/>
    <w:rsid w:val="00B31F09"/>
    <w:rsid w:val="00B31F29"/>
    <w:rsid w:val="00B327BB"/>
    <w:rsid w:val="00B334AA"/>
    <w:rsid w:val="00B336C6"/>
    <w:rsid w:val="00B33AE4"/>
    <w:rsid w:val="00B33AF8"/>
    <w:rsid w:val="00B33D67"/>
    <w:rsid w:val="00B33E36"/>
    <w:rsid w:val="00B340E0"/>
    <w:rsid w:val="00B341D6"/>
    <w:rsid w:val="00B34477"/>
    <w:rsid w:val="00B34874"/>
    <w:rsid w:val="00B34CC8"/>
    <w:rsid w:val="00B35073"/>
    <w:rsid w:val="00B353A2"/>
    <w:rsid w:val="00B354C9"/>
    <w:rsid w:val="00B35BA9"/>
    <w:rsid w:val="00B35E1A"/>
    <w:rsid w:val="00B36430"/>
    <w:rsid w:val="00B3643D"/>
    <w:rsid w:val="00B36734"/>
    <w:rsid w:val="00B36A1C"/>
    <w:rsid w:val="00B36A82"/>
    <w:rsid w:val="00B36BA1"/>
    <w:rsid w:val="00B3749F"/>
    <w:rsid w:val="00B37649"/>
    <w:rsid w:val="00B37ABD"/>
    <w:rsid w:val="00B37C54"/>
    <w:rsid w:val="00B37D03"/>
    <w:rsid w:val="00B37DA5"/>
    <w:rsid w:val="00B40041"/>
    <w:rsid w:val="00B40052"/>
    <w:rsid w:val="00B40112"/>
    <w:rsid w:val="00B4083E"/>
    <w:rsid w:val="00B4096E"/>
    <w:rsid w:val="00B40EFC"/>
    <w:rsid w:val="00B40F8B"/>
    <w:rsid w:val="00B41056"/>
    <w:rsid w:val="00B412B3"/>
    <w:rsid w:val="00B41BDB"/>
    <w:rsid w:val="00B41C3B"/>
    <w:rsid w:val="00B41CA7"/>
    <w:rsid w:val="00B41DE3"/>
    <w:rsid w:val="00B41E7A"/>
    <w:rsid w:val="00B4200E"/>
    <w:rsid w:val="00B421EA"/>
    <w:rsid w:val="00B423FD"/>
    <w:rsid w:val="00B4257E"/>
    <w:rsid w:val="00B426CB"/>
    <w:rsid w:val="00B4273F"/>
    <w:rsid w:val="00B4278E"/>
    <w:rsid w:val="00B42D9D"/>
    <w:rsid w:val="00B42E65"/>
    <w:rsid w:val="00B42F83"/>
    <w:rsid w:val="00B431EF"/>
    <w:rsid w:val="00B4329C"/>
    <w:rsid w:val="00B437AB"/>
    <w:rsid w:val="00B43893"/>
    <w:rsid w:val="00B43914"/>
    <w:rsid w:val="00B43A90"/>
    <w:rsid w:val="00B43AB6"/>
    <w:rsid w:val="00B43C85"/>
    <w:rsid w:val="00B43D48"/>
    <w:rsid w:val="00B4409D"/>
    <w:rsid w:val="00B4441A"/>
    <w:rsid w:val="00B44548"/>
    <w:rsid w:val="00B445C0"/>
    <w:rsid w:val="00B447AA"/>
    <w:rsid w:val="00B44A9B"/>
    <w:rsid w:val="00B44D8F"/>
    <w:rsid w:val="00B45423"/>
    <w:rsid w:val="00B456CA"/>
    <w:rsid w:val="00B4596C"/>
    <w:rsid w:val="00B45A36"/>
    <w:rsid w:val="00B45FC6"/>
    <w:rsid w:val="00B4610B"/>
    <w:rsid w:val="00B461AF"/>
    <w:rsid w:val="00B462C6"/>
    <w:rsid w:val="00B4672A"/>
    <w:rsid w:val="00B46A7A"/>
    <w:rsid w:val="00B46CDD"/>
    <w:rsid w:val="00B47107"/>
    <w:rsid w:val="00B478FE"/>
    <w:rsid w:val="00B47FF2"/>
    <w:rsid w:val="00B50307"/>
    <w:rsid w:val="00B50453"/>
    <w:rsid w:val="00B50DA8"/>
    <w:rsid w:val="00B50F2A"/>
    <w:rsid w:val="00B5147B"/>
    <w:rsid w:val="00B515E5"/>
    <w:rsid w:val="00B518E9"/>
    <w:rsid w:val="00B5194E"/>
    <w:rsid w:val="00B51B66"/>
    <w:rsid w:val="00B520ED"/>
    <w:rsid w:val="00B520EF"/>
    <w:rsid w:val="00B520F2"/>
    <w:rsid w:val="00B52437"/>
    <w:rsid w:val="00B52498"/>
    <w:rsid w:val="00B52919"/>
    <w:rsid w:val="00B52980"/>
    <w:rsid w:val="00B52A3A"/>
    <w:rsid w:val="00B52C4D"/>
    <w:rsid w:val="00B52D70"/>
    <w:rsid w:val="00B52F94"/>
    <w:rsid w:val="00B52FC0"/>
    <w:rsid w:val="00B532FA"/>
    <w:rsid w:val="00B53755"/>
    <w:rsid w:val="00B53E7A"/>
    <w:rsid w:val="00B53F4D"/>
    <w:rsid w:val="00B541E5"/>
    <w:rsid w:val="00B54355"/>
    <w:rsid w:val="00B54505"/>
    <w:rsid w:val="00B548B3"/>
    <w:rsid w:val="00B556B3"/>
    <w:rsid w:val="00B557D1"/>
    <w:rsid w:val="00B55924"/>
    <w:rsid w:val="00B55E4D"/>
    <w:rsid w:val="00B56514"/>
    <w:rsid w:val="00B56811"/>
    <w:rsid w:val="00B56AC3"/>
    <w:rsid w:val="00B56C5D"/>
    <w:rsid w:val="00B56DEC"/>
    <w:rsid w:val="00B56EC8"/>
    <w:rsid w:val="00B5707C"/>
    <w:rsid w:val="00B570D2"/>
    <w:rsid w:val="00B5711A"/>
    <w:rsid w:val="00B572DE"/>
    <w:rsid w:val="00B5767E"/>
    <w:rsid w:val="00B577D2"/>
    <w:rsid w:val="00B57A88"/>
    <w:rsid w:val="00B57C4B"/>
    <w:rsid w:val="00B57FAE"/>
    <w:rsid w:val="00B601AC"/>
    <w:rsid w:val="00B601CD"/>
    <w:rsid w:val="00B60579"/>
    <w:rsid w:val="00B60CAB"/>
    <w:rsid w:val="00B60D20"/>
    <w:rsid w:val="00B61094"/>
    <w:rsid w:val="00B6154B"/>
    <w:rsid w:val="00B61A79"/>
    <w:rsid w:val="00B61FBF"/>
    <w:rsid w:val="00B61FEB"/>
    <w:rsid w:val="00B6255A"/>
    <w:rsid w:val="00B626ED"/>
    <w:rsid w:val="00B627EF"/>
    <w:rsid w:val="00B62850"/>
    <w:rsid w:val="00B62869"/>
    <w:rsid w:val="00B62BF8"/>
    <w:rsid w:val="00B62D23"/>
    <w:rsid w:val="00B62DFA"/>
    <w:rsid w:val="00B63A6F"/>
    <w:rsid w:val="00B63BD4"/>
    <w:rsid w:val="00B64B38"/>
    <w:rsid w:val="00B64C25"/>
    <w:rsid w:val="00B6522E"/>
    <w:rsid w:val="00B65436"/>
    <w:rsid w:val="00B65658"/>
    <w:rsid w:val="00B65746"/>
    <w:rsid w:val="00B65ACD"/>
    <w:rsid w:val="00B66297"/>
    <w:rsid w:val="00B664E7"/>
    <w:rsid w:val="00B66566"/>
    <w:rsid w:val="00B670D0"/>
    <w:rsid w:val="00B67179"/>
    <w:rsid w:val="00B67276"/>
    <w:rsid w:val="00B6767A"/>
    <w:rsid w:val="00B67940"/>
    <w:rsid w:val="00B67AE0"/>
    <w:rsid w:val="00B67CBF"/>
    <w:rsid w:val="00B67CC8"/>
    <w:rsid w:val="00B70252"/>
    <w:rsid w:val="00B70284"/>
    <w:rsid w:val="00B7045B"/>
    <w:rsid w:val="00B706D4"/>
    <w:rsid w:val="00B70C67"/>
    <w:rsid w:val="00B71054"/>
    <w:rsid w:val="00B71169"/>
    <w:rsid w:val="00B7159F"/>
    <w:rsid w:val="00B71742"/>
    <w:rsid w:val="00B7178A"/>
    <w:rsid w:val="00B718D3"/>
    <w:rsid w:val="00B71AEB"/>
    <w:rsid w:val="00B71B4E"/>
    <w:rsid w:val="00B71D86"/>
    <w:rsid w:val="00B72325"/>
    <w:rsid w:val="00B72AF6"/>
    <w:rsid w:val="00B72B5A"/>
    <w:rsid w:val="00B72BBA"/>
    <w:rsid w:val="00B72C1B"/>
    <w:rsid w:val="00B72E49"/>
    <w:rsid w:val="00B7330A"/>
    <w:rsid w:val="00B7335A"/>
    <w:rsid w:val="00B738A0"/>
    <w:rsid w:val="00B73E54"/>
    <w:rsid w:val="00B73EFF"/>
    <w:rsid w:val="00B7428E"/>
    <w:rsid w:val="00B7433D"/>
    <w:rsid w:val="00B7463B"/>
    <w:rsid w:val="00B74D21"/>
    <w:rsid w:val="00B755BA"/>
    <w:rsid w:val="00B757AF"/>
    <w:rsid w:val="00B759AD"/>
    <w:rsid w:val="00B75FB7"/>
    <w:rsid w:val="00B76158"/>
    <w:rsid w:val="00B762C7"/>
    <w:rsid w:val="00B76512"/>
    <w:rsid w:val="00B770FD"/>
    <w:rsid w:val="00B7724D"/>
    <w:rsid w:val="00B7749F"/>
    <w:rsid w:val="00B779CD"/>
    <w:rsid w:val="00B77CDB"/>
    <w:rsid w:val="00B77D1A"/>
    <w:rsid w:val="00B80616"/>
    <w:rsid w:val="00B806BC"/>
    <w:rsid w:val="00B80954"/>
    <w:rsid w:val="00B80AF7"/>
    <w:rsid w:val="00B80B25"/>
    <w:rsid w:val="00B81044"/>
    <w:rsid w:val="00B81579"/>
    <w:rsid w:val="00B8174D"/>
    <w:rsid w:val="00B8193E"/>
    <w:rsid w:val="00B81BBF"/>
    <w:rsid w:val="00B81E54"/>
    <w:rsid w:val="00B8228C"/>
    <w:rsid w:val="00B822CC"/>
    <w:rsid w:val="00B824B6"/>
    <w:rsid w:val="00B82A5C"/>
    <w:rsid w:val="00B82C77"/>
    <w:rsid w:val="00B82FCC"/>
    <w:rsid w:val="00B836C6"/>
    <w:rsid w:val="00B83C16"/>
    <w:rsid w:val="00B83CEB"/>
    <w:rsid w:val="00B83D1C"/>
    <w:rsid w:val="00B83DB1"/>
    <w:rsid w:val="00B83F86"/>
    <w:rsid w:val="00B841FE"/>
    <w:rsid w:val="00B842DE"/>
    <w:rsid w:val="00B8437D"/>
    <w:rsid w:val="00B84A5B"/>
    <w:rsid w:val="00B84B28"/>
    <w:rsid w:val="00B85035"/>
    <w:rsid w:val="00B85250"/>
    <w:rsid w:val="00B85B11"/>
    <w:rsid w:val="00B86170"/>
    <w:rsid w:val="00B861C9"/>
    <w:rsid w:val="00B863F6"/>
    <w:rsid w:val="00B86B5F"/>
    <w:rsid w:val="00B86DF9"/>
    <w:rsid w:val="00B86EC1"/>
    <w:rsid w:val="00B86FC4"/>
    <w:rsid w:val="00B8710C"/>
    <w:rsid w:val="00B87737"/>
    <w:rsid w:val="00B87860"/>
    <w:rsid w:val="00B879CC"/>
    <w:rsid w:val="00B87EC9"/>
    <w:rsid w:val="00B87F21"/>
    <w:rsid w:val="00B9001B"/>
    <w:rsid w:val="00B90099"/>
    <w:rsid w:val="00B9050D"/>
    <w:rsid w:val="00B9065E"/>
    <w:rsid w:val="00B90787"/>
    <w:rsid w:val="00B90B7E"/>
    <w:rsid w:val="00B90C11"/>
    <w:rsid w:val="00B90C3B"/>
    <w:rsid w:val="00B91010"/>
    <w:rsid w:val="00B91208"/>
    <w:rsid w:val="00B913DB"/>
    <w:rsid w:val="00B91504"/>
    <w:rsid w:val="00B91892"/>
    <w:rsid w:val="00B91949"/>
    <w:rsid w:val="00B91C14"/>
    <w:rsid w:val="00B91C90"/>
    <w:rsid w:val="00B9222B"/>
    <w:rsid w:val="00B92908"/>
    <w:rsid w:val="00B92E81"/>
    <w:rsid w:val="00B93046"/>
    <w:rsid w:val="00B9316B"/>
    <w:rsid w:val="00B93249"/>
    <w:rsid w:val="00B932D2"/>
    <w:rsid w:val="00B93381"/>
    <w:rsid w:val="00B93463"/>
    <w:rsid w:val="00B9366F"/>
    <w:rsid w:val="00B939D0"/>
    <w:rsid w:val="00B93C34"/>
    <w:rsid w:val="00B93CBF"/>
    <w:rsid w:val="00B93D1B"/>
    <w:rsid w:val="00B93FE4"/>
    <w:rsid w:val="00B94104"/>
    <w:rsid w:val="00B94543"/>
    <w:rsid w:val="00B948C9"/>
    <w:rsid w:val="00B949AC"/>
    <w:rsid w:val="00B94D47"/>
    <w:rsid w:val="00B94F1E"/>
    <w:rsid w:val="00B95314"/>
    <w:rsid w:val="00B953AA"/>
    <w:rsid w:val="00B96033"/>
    <w:rsid w:val="00B9608C"/>
    <w:rsid w:val="00B963A7"/>
    <w:rsid w:val="00B96B2E"/>
    <w:rsid w:val="00B9704B"/>
    <w:rsid w:val="00B9710F"/>
    <w:rsid w:val="00B9743F"/>
    <w:rsid w:val="00B976A2"/>
    <w:rsid w:val="00B97A11"/>
    <w:rsid w:val="00BA011F"/>
    <w:rsid w:val="00BA0B8A"/>
    <w:rsid w:val="00BA0BDF"/>
    <w:rsid w:val="00BA0CB0"/>
    <w:rsid w:val="00BA0D1C"/>
    <w:rsid w:val="00BA127A"/>
    <w:rsid w:val="00BA12BC"/>
    <w:rsid w:val="00BA12EC"/>
    <w:rsid w:val="00BA1530"/>
    <w:rsid w:val="00BA158B"/>
    <w:rsid w:val="00BA16CA"/>
    <w:rsid w:val="00BA18CC"/>
    <w:rsid w:val="00BA1BE8"/>
    <w:rsid w:val="00BA1E78"/>
    <w:rsid w:val="00BA1EFD"/>
    <w:rsid w:val="00BA20CD"/>
    <w:rsid w:val="00BA24A5"/>
    <w:rsid w:val="00BA2810"/>
    <w:rsid w:val="00BA2A54"/>
    <w:rsid w:val="00BA2B0F"/>
    <w:rsid w:val="00BA2EB6"/>
    <w:rsid w:val="00BA36F3"/>
    <w:rsid w:val="00BA3710"/>
    <w:rsid w:val="00BA383E"/>
    <w:rsid w:val="00BA3CEA"/>
    <w:rsid w:val="00BA41CF"/>
    <w:rsid w:val="00BA41E7"/>
    <w:rsid w:val="00BA4200"/>
    <w:rsid w:val="00BA4DAE"/>
    <w:rsid w:val="00BA50F9"/>
    <w:rsid w:val="00BA5733"/>
    <w:rsid w:val="00BA5B3E"/>
    <w:rsid w:val="00BA5CF4"/>
    <w:rsid w:val="00BA5F7B"/>
    <w:rsid w:val="00BA60C5"/>
    <w:rsid w:val="00BA6213"/>
    <w:rsid w:val="00BA6586"/>
    <w:rsid w:val="00BA6682"/>
    <w:rsid w:val="00BA692C"/>
    <w:rsid w:val="00BA7278"/>
    <w:rsid w:val="00BA740A"/>
    <w:rsid w:val="00BA74A6"/>
    <w:rsid w:val="00BA75A6"/>
    <w:rsid w:val="00BA7719"/>
    <w:rsid w:val="00BA771E"/>
    <w:rsid w:val="00BA778A"/>
    <w:rsid w:val="00BA7819"/>
    <w:rsid w:val="00BA78D5"/>
    <w:rsid w:val="00BA7984"/>
    <w:rsid w:val="00BA7B33"/>
    <w:rsid w:val="00BB057C"/>
    <w:rsid w:val="00BB0C23"/>
    <w:rsid w:val="00BB12BE"/>
    <w:rsid w:val="00BB151A"/>
    <w:rsid w:val="00BB1613"/>
    <w:rsid w:val="00BB2104"/>
    <w:rsid w:val="00BB29B1"/>
    <w:rsid w:val="00BB301D"/>
    <w:rsid w:val="00BB305D"/>
    <w:rsid w:val="00BB34F0"/>
    <w:rsid w:val="00BB3582"/>
    <w:rsid w:val="00BB36E4"/>
    <w:rsid w:val="00BB3C50"/>
    <w:rsid w:val="00BB3DC7"/>
    <w:rsid w:val="00BB3E00"/>
    <w:rsid w:val="00BB4290"/>
    <w:rsid w:val="00BB42AA"/>
    <w:rsid w:val="00BB4C44"/>
    <w:rsid w:val="00BB50F4"/>
    <w:rsid w:val="00BB5304"/>
    <w:rsid w:val="00BB531F"/>
    <w:rsid w:val="00BB53F7"/>
    <w:rsid w:val="00BB567D"/>
    <w:rsid w:val="00BB5D16"/>
    <w:rsid w:val="00BB5D37"/>
    <w:rsid w:val="00BB64B9"/>
    <w:rsid w:val="00BB668A"/>
    <w:rsid w:val="00BB6897"/>
    <w:rsid w:val="00BB6A68"/>
    <w:rsid w:val="00BB6F4B"/>
    <w:rsid w:val="00BB7843"/>
    <w:rsid w:val="00BB7CAF"/>
    <w:rsid w:val="00BC0075"/>
    <w:rsid w:val="00BC02F8"/>
    <w:rsid w:val="00BC032A"/>
    <w:rsid w:val="00BC07EB"/>
    <w:rsid w:val="00BC0907"/>
    <w:rsid w:val="00BC0AF0"/>
    <w:rsid w:val="00BC0EB2"/>
    <w:rsid w:val="00BC0F3D"/>
    <w:rsid w:val="00BC1353"/>
    <w:rsid w:val="00BC165A"/>
    <w:rsid w:val="00BC17E9"/>
    <w:rsid w:val="00BC18B6"/>
    <w:rsid w:val="00BC21D9"/>
    <w:rsid w:val="00BC25EA"/>
    <w:rsid w:val="00BC272B"/>
    <w:rsid w:val="00BC2A43"/>
    <w:rsid w:val="00BC2C2C"/>
    <w:rsid w:val="00BC2C7E"/>
    <w:rsid w:val="00BC2CE8"/>
    <w:rsid w:val="00BC3528"/>
    <w:rsid w:val="00BC4FBD"/>
    <w:rsid w:val="00BC5601"/>
    <w:rsid w:val="00BC58AD"/>
    <w:rsid w:val="00BC5E0B"/>
    <w:rsid w:val="00BC5EBB"/>
    <w:rsid w:val="00BC5F51"/>
    <w:rsid w:val="00BC6471"/>
    <w:rsid w:val="00BC6745"/>
    <w:rsid w:val="00BC67BD"/>
    <w:rsid w:val="00BC694F"/>
    <w:rsid w:val="00BC6B15"/>
    <w:rsid w:val="00BC6B2A"/>
    <w:rsid w:val="00BC6FDE"/>
    <w:rsid w:val="00BC7163"/>
    <w:rsid w:val="00BC7212"/>
    <w:rsid w:val="00BC7DF9"/>
    <w:rsid w:val="00BD0026"/>
    <w:rsid w:val="00BD019F"/>
    <w:rsid w:val="00BD0523"/>
    <w:rsid w:val="00BD06FD"/>
    <w:rsid w:val="00BD0B57"/>
    <w:rsid w:val="00BD0D8A"/>
    <w:rsid w:val="00BD11AC"/>
    <w:rsid w:val="00BD1223"/>
    <w:rsid w:val="00BD122D"/>
    <w:rsid w:val="00BD13FB"/>
    <w:rsid w:val="00BD14F9"/>
    <w:rsid w:val="00BD15F5"/>
    <w:rsid w:val="00BD1834"/>
    <w:rsid w:val="00BD1D22"/>
    <w:rsid w:val="00BD23FB"/>
    <w:rsid w:val="00BD275F"/>
    <w:rsid w:val="00BD2AFC"/>
    <w:rsid w:val="00BD2C4C"/>
    <w:rsid w:val="00BD2CAD"/>
    <w:rsid w:val="00BD2CE6"/>
    <w:rsid w:val="00BD300C"/>
    <w:rsid w:val="00BD3054"/>
    <w:rsid w:val="00BD34A9"/>
    <w:rsid w:val="00BD34D5"/>
    <w:rsid w:val="00BD3741"/>
    <w:rsid w:val="00BD388C"/>
    <w:rsid w:val="00BD3A66"/>
    <w:rsid w:val="00BD3FC9"/>
    <w:rsid w:val="00BD441B"/>
    <w:rsid w:val="00BD44FB"/>
    <w:rsid w:val="00BD498B"/>
    <w:rsid w:val="00BD4FE5"/>
    <w:rsid w:val="00BD5150"/>
    <w:rsid w:val="00BD551E"/>
    <w:rsid w:val="00BD554B"/>
    <w:rsid w:val="00BD56CF"/>
    <w:rsid w:val="00BD5BE5"/>
    <w:rsid w:val="00BD5EF6"/>
    <w:rsid w:val="00BD637E"/>
    <w:rsid w:val="00BD687B"/>
    <w:rsid w:val="00BD6880"/>
    <w:rsid w:val="00BD6FC6"/>
    <w:rsid w:val="00BD720D"/>
    <w:rsid w:val="00BD7444"/>
    <w:rsid w:val="00BE005A"/>
    <w:rsid w:val="00BE0709"/>
    <w:rsid w:val="00BE07B0"/>
    <w:rsid w:val="00BE07F8"/>
    <w:rsid w:val="00BE09C0"/>
    <w:rsid w:val="00BE0BAB"/>
    <w:rsid w:val="00BE0D12"/>
    <w:rsid w:val="00BE0DE1"/>
    <w:rsid w:val="00BE1208"/>
    <w:rsid w:val="00BE1885"/>
    <w:rsid w:val="00BE1889"/>
    <w:rsid w:val="00BE1894"/>
    <w:rsid w:val="00BE1B86"/>
    <w:rsid w:val="00BE1D51"/>
    <w:rsid w:val="00BE23E4"/>
    <w:rsid w:val="00BE2634"/>
    <w:rsid w:val="00BE29F5"/>
    <w:rsid w:val="00BE2B40"/>
    <w:rsid w:val="00BE2ED9"/>
    <w:rsid w:val="00BE2F21"/>
    <w:rsid w:val="00BE36F1"/>
    <w:rsid w:val="00BE39C0"/>
    <w:rsid w:val="00BE3A92"/>
    <w:rsid w:val="00BE41E0"/>
    <w:rsid w:val="00BE4332"/>
    <w:rsid w:val="00BE48FA"/>
    <w:rsid w:val="00BE518D"/>
    <w:rsid w:val="00BE5AE1"/>
    <w:rsid w:val="00BE62E7"/>
    <w:rsid w:val="00BE650D"/>
    <w:rsid w:val="00BE6622"/>
    <w:rsid w:val="00BE6656"/>
    <w:rsid w:val="00BE669F"/>
    <w:rsid w:val="00BE6756"/>
    <w:rsid w:val="00BE67A6"/>
    <w:rsid w:val="00BE697E"/>
    <w:rsid w:val="00BE6F11"/>
    <w:rsid w:val="00BE6F9E"/>
    <w:rsid w:val="00BE7232"/>
    <w:rsid w:val="00BE734F"/>
    <w:rsid w:val="00BE75FD"/>
    <w:rsid w:val="00BE7623"/>
    <w:rsid w:val="00BF0492"/>
    <w:rsid w:val="00BF04B6"/>
    <w:rsid w:val="00BF0785"/>
    <w:rsid w:val="00BF07D8"/>
    <w:rsid w:val="00BF0C87"/>
    <w:rsid w:val="00BF10DB"/>
    <w:rsid w:val="00BF11CB"/>
    <w:rsid w:val="00BF145C"/>
    <w:rsid w:val="00BF17B0"/>
    <w:rsid w:val="00BF1814"/>
    <w:rsid w:val="00BF1A62"/>
    <w:rsid w:val="00BF1F42"/>
    <w:rsid w:val="00BF242B"/>
    <w:rsid w:val="00BF2925"/>
    <w:rsid w:val="00BF2A52"/>
    <w:rsid w:val="00BF2B97"/>
    <w:rsid w:val="00BF2C2E"/>
    <w:rsid w:val="00BF32C2"/>
    <w:rsid w:val="00BF3537"/>
    <w:rsid w:val="00BF3AC2"/>
    <w:rsid w:val="00BF3BAC"/>
    <w:rsid w:val="00BF4304"/>
    <w:rsid w:val="00BF45C0"/>
    <w:rsid w:val="00BF488A"/>
    <w:rsid w:val="00BF49DA"/>
    <w:rsid w:val="00BF4B16"/>
    <w:rsid w:val="00BF50DC"/>
    <w:rsid w:val="00BF5120"/>
    <w:rsid w:val="00BF536D"/>
    <w:rsid w:val="00BF5589"/>
    <w:rsid w:val="00BF5AB5"/>
    <w:rsid w:val="00BF5AEC"/>
    <w:rsid w:val="00BF5FF3"/>
    <w:rsid w:val="00BF6143"/>
    <w:rsid w:val="00BF61FF"/>
    <w:rsid w:val="00BF6425"/>
    <w:rsid w:val="00BF64A3"/>
    <w:rsid w:val="00BF6671"/>
    <w:rsid w:val="00BF6CDD"/>
    <w:rsid w:val="00BF7767"/>
    <w:rsid w:val="00BF7DA9"/>
    <w:rsid w:val="00C0089D"/>
    <w:rsid w:val="00C00A87"/>
    <w:rsid w:val="00C00B4D"/>
    <w:rsid w:val="00C00D1E"/>
    <w:rsid w:val="00C00FD1"/>
    <w:rsid w:val="00C010B7"/>
    <w:rsid w:val="00C011E8"/>
    <w:rsid w:val="00C01AA0"/>
    <w:rsid w:val="00C01AFE"/>
    <w:rsid w:val="00C01EC6"/>
    <w:rsid w:val="00C0248B"/>
    <w:rsid w:val="00C02528"/>
    <w:rsid w:val="00C02722"/>
    <w:rsid w:val="00C02ABA"/>
    <w:rsid w:val="00C02E6C"/>
    <w:rsid w:val="00C02FFB"/>
    <w:rsid w:val="00C0317D"/>
    <w:rsid w:val="00C031F5"/>
    <w:rsid w:val="00C036C7"/>
    <w:rsid w:val="00C0391E"/>
    <w:rsid w:val="00C03B26"/>
    <w:rsid w:val="00C03B43"/>
    <w:rsid w:val="00C03C29"/>
    <w:rsid w:val="00C03DD8"/>
    <w:rsid w:val="00C03EBB"/>
    <w:rsid w:val="00C040EF"/>
    <w:rsid w:val="00C0429B"/>
    <w:rsid w:val="00C044A8"/>
    <w:rsid w:val="00C049F3"/>
    <w:rsid w:val="00C04A9E"/>
    <w:rsid w:val="00C04B15"/>
    <w:rsid w:val="00C0534F"/>
    <w:rsid w:val="00C058CE"/>
    <w:rsid w:val="00C058F7"/>
    <w:rsid w:val="00C05C1D"/>
    <w:rsid w:val="00C05D43"/>
    <w:rsid w:val="00C05E20"/>
    <w:rsid w:val="00C06475"/>
    <w:rsid w:val="00C0739A"/>
    <w:rsid w:val="00C07ACE"/>
    <w:rsid w:val="00C07DE0"/>
    <w:rsid w:val="00C07E11"/>
    <w:rsid w:val="00C10042"/>
    <w:rsid w:val="00C10207"/>
    <w:rsid w:val="00C10413"/>
    <w:rsid w:val="00C10542"/>
    <w:rsid w:val="00C105BA"/>
    <w:rsid w:val="00C106D9"/>
    <w:rsid w:val="00C10D33"/>
    <w:rsid w:val="00C111A2"/>
    <w:rsid w:val="00C11281"/>
    <w:rsid w:val="00C113E7"/>
    <w:rsid w:val="00C11418"/>
    <w:rsid w:val="00C11598"/>
    <w:rsid w:val="00C115E9"/>
    <w:rsid w:val="00C11697"/>
    <w:rsid w:val="00C116B6"/>
    <w:rsid w:val="00C119A5"/>
    <w:rsid w:val="00C11F0A"/>
    <w:rsid w:val="00C12713"/>
    <w:rsid w:val="00C128AF"/>
    <w:rsid w:val="00C12AAF"/>
    <w:rsid w:val="00C12E21"/>
    <w:rsid w:val="00C1311D"/>
    <w:rsid w:val="00C13248"/>
    <w:rsid w:val="00C134C7"/>
    <w:rsid w:val="00C137F8"/>
    <w:rsid w:val="00C13C16"/>
    <w:rsid w:val="00C140E3"/>
    <w:rsid w:val="00C1423F"/>
    <w:rsid w:val="00C14507"/>
    <w:rsid w:val="00C14770"/>
    <w:rsid w:val="00C14A05"/>
    <w:rsid w:val="00C14C8C"/>
    <w:rsid w:val="00C14CEB"/>
    <w:rsid w:val="00C14CFB"/>
    <w:rsid w:val="00C14F0B"/>
    <w:rsid w:val="00C152EB"/>
    <w:rsid w:val="00C15F72"/>
    <w:rsid w:val="00C164C6"/>
    <w:rsid w:val="00C1672E"/>
    <w:rsid w:val="00C16847"/>
    <w:rsid w:val="00C16B8C"/>
    <w:rsid w:val="00C16BC1"/>
    <w:rsid w:val="00C16CC2"/>
    <w:rsid w:val="00C16DC7"/>
    <w:rsid w:val="00C16ECB"/>
    <w:rsid w:val="00C16F6D"/>
    <w:rsid w:val="00C171BB"/>
    <w:rsid w:val="00C17425"/>
    <w:rsid w:val="00C176B9"/>
    <w:rsid w:val="00C17B0A"/>
    <w:rsid w:val="00C17BCA"/>
    <w:rsid w:val="00C2029D"/>
    <w:rsid w:val="00C203D1"/>
    <w:rsid w:val="00C20463"/>
    <w:rsid w:val="00C205F2"/>
    <w:rsid w:val="00C2088D"/>
    <w:rsid w:val="00C20F90"/>
    <w:rsid w:val="00C21279"/>
    <w:rsid w:val="00C21446"/>
    <w:rsid w:val="00C214C6"/>
    <w:rsid w:val="00C2199C"/>
    <w:rsid w:val="00C219DE"/>
    <w:rsid w:val="00C21AD1"/>
    <w:rsid w:val="00C21EF1"/>
    <w:rsid w:val="00C22150"/>
    <w:rsid w:val="00C2220A"/>
    <w:rsid w:val="00C22818"/>
    <w:rsid w:val="00C22FBB"/>
    <w:rsid w:val="00C230CA"/>
    <w:rsid w:val="00C2329F"/>
    <w:rsid w:val="00C234C8"/>
    <w:rsid w:val="00C23714"/>
    <w:rsid w:val="00C23800"/>
    <w:rsid w:val="00C23F46"/>
    <w:rsid w:val="00C240ED"/>
    <w:rsid w:val="00C24553"/>
    <w:rsid w:val="00C247B1"/>
    <w:rsid w:val="00C253E7"/>
    <w:rsid w:val="00C25837"/>
    <w:rsid w:val="00C2583D"/>
    <w:rsid w:val="00C259A7"/>
    <w:rsid w:val="00C25FCF"/>
    <w:rsid w:val="00C261B7"/>
    <w:rsid w:val="00C2646B"/>
    <w:rsid w:val="00C26C06"/>
    <w:rsid w:val="00C26D1C"/>
    <w:rsid w:val="00C26E68"/>
    <w:rsid w:val="00C30072"/>
    <w:rsid w:val="00C30391"/>
    <w:rsid w:val="00C3046D"/>
    <w:rsid w:val="00C30720"/>
    <w:rsid w:val="00C30902"/>
    <w:rsid w:val="00C30DAA"/>
    <w:rsid w:val="00C310AC"/>
    <w:rsid w:val="00C310B0"/>
    <w:rsid w:val="00C314E5"/>
    <w:rsid w:val="00C31AE5"/>
    <w:rsid w:val="00C31E36"/>
    <w:rsid w:val="00C31E74"/>
    <w:rsid w:val="00C31F1D"/>
    <w:rsid w:val="00C3203E"/>
    <w:rsid w:val="00C3234B"/>
    <w:rsid w:val="00C32432"/>
    <w:rsid w:val="00C3251A"/>
    <w:rsid w:val="00C33916"/>
    <w:rsid w:val="00C33CDD"/>
    <w:rsid w:val="00C342FC"/>
    <w:rsid w:val="00C3453F"/>
    <w:rsid w:val="00C345CD"/>
    <w:rsid w:val="00C34651"/>
    <w:rsid w:val="00C34AF7"/>
    <w:rsid w:val="00C34BDB"/>
    <w:rsid w:val="00C34C9A"/>
    <w:rsid w:val="00C35173"/>
    <w:rsid w:val="00C351E2"/>
    <w:rsid w:val="00C352B2"/>
    <w:rsid w:val="00C35697"/>
    <w:rsid w:val="00C35786"/>
    <w:rsid w:val="00C359CE"/>
    <w:rsid w:val="00C36576"/>
    <w:rsid w:val="00C367E8"/>
    <w:rsid w:val="00C369F3"/>
    <w:rsid w:val="00C36B95"/>
    <w:rsid w:val="00C36EA6"/>
    <w:rsid w:val="00C36ED5"/>
    <w:rsid w:val="00C36F80"/>
    <w:rsid w:val="00C3739E"/>
    <w:rsid w:val="00C37699"/>
    <w:rsid w:val="00C37953"/>
    <w:rsid w:val="00C37B9A"/>
    <w:rsid w:val="00C37C7C"/>
    <w:rsid w:val="00C37E16"/>
    <w:rsid w:val="00C4004B"/>
    <w:rsid w:val="00C40879"/>
    <w:rsid w:val="00C409AD"/>
    <w:rsid w:val="00C40C26"/>
    <w:rsid w:val="00C40F41"/>
    <w:rsid w:val="00C41681"/>
    <w:rsid w:val="00C416BB"/>
    <w:rsid w:val="00C416CF"/>
    <w:rsid w:val="00C41ACA"/>
    <w:rsid w:val="00C41B3A"/>
    <w:rsid w:val="00C41BA4"/>
    <w:rsid w:val="00C41FDA"/>
    <w:rsid w:val="00C42001"/>
    <w:rsid w:val="00C4217B"/>
    <w:rsid w:val="00C42489"/>
    <w:rsid w:val="00C430A8"/>
    <w:rsid w:val="00C431EA"/>
    <w:rsid w:val="00C4348D"/>
    <w:rsid w:val="00C43A3E"/>
    <w:rsid w:val="00C43A73"/>
    <w:rsid w:val="00C43AF4"/>
    <w:rsid w:val="00C43BAA"/>
    <w:rsid w:val="00C43D24"/>
    <w:rsid w:val="00C43D71"/>
    <w:rsid w:val="00C43FBB"/>
    <w:rsid w:val="00C44856"/>
    <w:rsid w:val="00C448DD"/>
    <w:rsid w:val="00C4550A"/>
    <w:rsid w:val="00C4599D"/>
    <w:rsid w:val="00C45BA2"/>
    <w:rsid w:val="00C46000"/>
    <w:rsid w:val="00C46163"/>
    <w:rsid w:val="00C46309"/>
    <w:rsid w:val="00C466BE"/>
    <w:rsid w:val="00C46A57"/>
    <w:rsid w:val="00C46D74"/>
    <w:rsid w:val="00C46DD9"/>
    <w:rsid w:val="00C4776F"/>
    <w:rsid w:val="00C478D6"/>
    <w:rsid w:val="00C47B05"/>
    <w:rsid w:val="00C47B4A"/>
    <w:rsid w:val="00C47D7B"/>
    <w:rsid w:val="00C47DC5"/>
    <w:rsid w:val="00C47F06"/>
    <w:rsid w:val="00C509D2"/>
    <w:rsid w:val="00C50CF8"/>
    <w:rsid w:val="00C5155E"/>
    <w:rsid w:val="00C51663"/>
    <w:rsid w:val="00C5174B"/>
    <w:rsid w:val="00C519D8"/>
    <w:rsid w:val="00C51D9C"/>
    <w:rsid w:val="00C520C8"/>
    <w:rsid w:val="00C52114"/>
    <w:rsid w:val="00C5273A"/>
    <w:rsid w:val="00C52C57"/>
    <w:rsid w:val="00C52ECF"/>
    <w:rsid w:val="00C5306F"/>
    <w:rsid w:val="00C53275"/>
    <w:rsid w:val="00C53A1F"/>
    <w:rsid w:val="00C53BD9"/>
    <w:rsid w:val="00C53E02"/>
    <w:rsid w:val="00C540E4"/>
    <w:rsid w:val="00C5478E"/>
    <w:rsid w:val="00C54E73"/>
    <w:rsid w:val="00C556BE"/>
    <w:rsid w:val="00C558A7"/>
    <w:rsid w:val="00C55DDD"/>
    <w:rsid w:val="00C55FB6"/>
    <w:rsid w:val="00C560A1"/>
    <w:rsid w:val="00C56112"/>
    <w:rsid w:val="00C56261"/>
    <w:rsid w:val="00C567BF"/>
    <w:rsid w:val="00C56E0C"/>
    <w:rsid w:val="00C56FD0"/>
    <w:rsid w:val="00C572CD"/>
    <w:rsid w:val="00C57614"/>
    <w:rsid w:val="00C57AEB"/>
    <w:rsid w:val="00C57BC5"/>
    <w:rsid w:val="00C57C86"/>
    <w:rsid w:val="00C57CBF"/>
    <w:rsid w:val="00C602C2"/>
    <w:rsid w:val="00C6050C"/>
    <w:rsid w:val="00C60588"/>
    <w:rsid w:val="00C60834"/>
    <w:rsid w:val="00C6087F"/>
    <w:rsid w:val="00C60982"/>
    <w:rsid w:val="00C609CC"/>
    <w:rsid w:val="00C60AD4"/>
    <w:rsid w:val="00C60C08"/>
    <w:rsid w:val="00C60D62"/>
    <w:rsid w:val="00C60F62"/>
    <w:rsid w:val="00C61609"/>
    <w:rsid w:val="00C6175F"/>
    <w:rsid w:val="00C6196E"/>
    <w:rsid w:val="00C61D59"/>
    <w:rsid w:val="00C61DF6"/>
    <w:rsid w:val="00C62353"/>
    <w:rsid w:val="00C6248A"/>
    <w:rsid w:val="00C62636"/>
    <w:rsid w:val="00C6267A"/>
    <w:rsid w:val="00C6291D"/>
    <w:rsid w:val="00C62948"/>
    <w:rsid w:val="00C62A35"/>
    <w:rsid w:val="00C62CB7"/>
    <w:rsid w:val="00C62E30"/>
    <w:rsid w:val="00C630F2"/>
    <w:rsid w:val="00C632A6"/>
    <w:rsid w:val="00C6341A"/>
    <w:rsid w:val="00C63C9B"/>
    <w:rsid w:val="00C63E02"/>
    <w:rsid w:val="00C63E3C"/>
    <w:rsid w:val="00C63EE5"/>
    <w:rsid w:val="00C643F2"/>
    <w:rsid w:val="00C64731"/>
    <w:rsid w:val="00C6481F"/>
    <w:rsid w:val="00C657B1"/>
    <w:rsid w:val="00C659F2"/>
    <w:rsid w:val="00C65AA9"/>
    <w:rsid w:val="00C65B83"/>
    <w:rsid w:val="00C6609A"/>
    <w:rsid w:val="00C662A8"/>
    <w:rsid w:val="00C66C88"/>
    <w:rsid w:val="00C678D4"/>
    <w:rsid w:val="00C67ED4"/>
    <w:rsid w:val="00C67FDE"/>
    <w:rsid w:val="00C705BE"/>
    <w:rsid w:val="00C70639"/>
    <w:rsid w:val="00C70739"/>
    <w:rsid w:val="00C70B2E"/>
    <w:rsid w:val="00C70C05"/>
    <w:rsid w:val="00C70CC8"/>
    <w:rsid w:val="00C71179"/>
    <w:rsid w:val="00C71446"/>
    <w:rsid w:val="00C71D40"/>
    <w:rsid w:val="00C71D68"/>
    <w:rsid w:val="00C71E53"/>
    <w:rsid w:val="00C71E7F"/>
    <w:rsid w:val="00C72753"/>
    <w:rsid w:val="00C72923"/>
    <w:rsid w:val="00C7297F"/>
    <w:rsid w:val="00C7299E"/>
    <w:rsid w:val="00C72A86"/>
    <w:rsid w:val="00C72B4E"/>
    <w:rsid w:val="00C72BFE"/>
    <w:rsid w:val="00C72F07"/>
    <w:rsid w:val="00C7314C"/>
    <w:rsid w:val="00C73524"/>
    <w:rsid w:val="00C73B6C"/>
    <w:rsid w:val="00C73FD3"/>
    <w:rsid w:val="00C74178"/>
    <w:rsid w:val="00C741C4"/>
    <w:rsid w:val="00C74417"/>
    <w:rsid w:val="00C747B4"/>
    <w:rsid w:val="00C74DE3"/>
    <w:rsid w:val="00C75003"/>
    <w:rsid w:val="00C750EF"/>
    <w:rsid w:val="00C75162"/>
    <w:rsid w:val="00C7523F"/>
    <w:rsid w:val="00C75372"/>
    <w:rsid w:val="00C759B9"/>
    <w:rsid w:val="00C76348"/>
    <w:rsid w:val="00C76354"/>
    <w:rsid w:val="00C76DC8"/>
    <w:rsid w:val="00C76F1E"/>
    <w:rsid w:val="00C7711B"/>
    <w:rsid w:val="00C7765E"/>
    <w:rsid w:val="00C776DE"/>
    <w:rsid w:val="00C7789C"/>
    <w:rsid w:val="00C778AE"/>
    <w:rsid w:val="00C77AE3"/>
    <w:rsid w:val="00C77B18"/>
    <w:rsid w:val="00C77E7B"/>
    <w:rsid w:val="00C77F4C"/>
    <w:rsid w:val="00C80140"/>
    <w:rsid w:val="00C80161"/>
    <w:rsid w:val="00C80FAE"/>
    <w:rsid w:val="00C80FC8"/>
    <w:rsid w:val="00C810C6"/>
    <w:rsid w:val="00C81464"/>
    <w:rsid w:val="00C8156E"/>
    <w:rsid w:val="00C81E78"/>
    <w:rsid w:val="00C81ED3"/>
    <w:rsid w:val="00C8269A"/>
    <w:rsid w:val="00C82B11"/>
    <w:rsid w:val="00C82C80"/>
    <w:rsid w:val="00C82E0F"/>
    <w:rsid w:val="00C8329B"/>
    <w:rsid w:val="00C83375"/>
    <w:rsid w:val="00C835C9"/>
    <w:rsid w:val="00C83C94"/>
    <w:rsid w:val="00C85E96"/>
    <w:rsid w:val="00C860FE"/>
    <w:rsid w:val="00C8625F"/>
    <w:rsid w:val="00C86417"/>
    <w:rsid w:val="00C864A0"/>
    <w:rsid w:val="00C8687B"/>
    <w:rsid w:val="00C868A0"/>
    <w:rsid w:val="00C86949"/>
    <w:rsid w:val="00C86D5E"/>
    <w:rsid w:val="00C874CA"/>
    <w:rsid w:val="00C87608"/>
    <w:rsid w:val="00C8794F"/>
    <w:rsid w:val="00C879B3"/>
    <w:rsid w:val="00C87E79"/>
    <w:rsid w:val="00C907EA"/>
    <w:rsid w:val="00C9147B"/>
    <w:rsid w:val="00C91737"/>
    <w:rsid w:val="00C91E26"/>
    <w:rsid w:val="00C91EE9"/>
    <w:rsid w:val="00C9210D"/>
    <w:rsid w:val="00C921F4"/>
    <w:rsid w:val="00C9222C"/>
    <w:rsid w:val="00C9239C"/>
    <w:rsid w:val="00C9241E"/>
    <w:rsid w:val="00C92645"/>
    <w:rsid w:val="00C92AC0"/>
    <w:rsid w:val="00C92EF9"/>
    <w:rsid w:val="00C93108"/>
    <w:rsid w:val="00C9327B"/>
    <w:rsid w:val="00C934BE"/>
    <w:rsid w:val="00C9355E"/>
    <w:rsid w:val="00C93903"/>
    <w:rsid w:val="00C93AAF"/>
    <w:rsid w:val="00C93B15"/>
    <w:rsid w:val="00C94144"/>
    <w:rsid w:val="00C942DA"/>
    <w:rsid w:val="00C94346"/>
    <w:rsid w:val="00C943FD"/>
    <w:rsid w:val="00C94437"/>
    <w:rsid w:val="00C94526"/>
    <w:rsid w:val="00C9455E"/>
    <w:rsid w:val="00C94E08"/>
    <w:rsid w:val="00C94FC7"/>
    <w:rsid w:val="00C95250"/>
    <w:rsid w:val="00C95697"/>
    <w:rsid w:val="00C96066"/>
    <w:rsid w:val="00C96140"/>
    <w:rsid w:val="00C96239"/>
    <w:rsid w:val="00C963AD"/>
    <w:rsid w:val="00C964BE"/>
    <w:rsid w:val="00C96E12"/>
    <w:rsid w:val="00C96F2A"/>
    <w:rsid w:val="00C97123"/>
    <w:rsid w:val="00C9732E"/>
    <w:rsid w:val="00C97377"/>
    <w:rsid w:val="00C9744B"/>
    <w:rsid w:val="00C97746"/>
    <w:rsid w:val="00CA0116"/>
    <w:rsid w:val="00CA084D"/>
    <w:rsid w:val="00CA0B52"/>
    <w:rsid w:val="00CA0BEE"/>
    <w:rsid w:val="00CA1132"/>
    <w:rsid w:val="00CA143E"/>
    <w:rsid w:val="00CA16C4"/>
    <w:rsid w:val="00CA1843"/>
    <w:rsid w:val="00CA204D"/>
    <w:rsid w:val="00CA2077"/>
    <w:rsid w:val="00CA20DA"/>
    <w:rsid w:val="00CA21B2"/>
    <w:rsid w:val="00CA22D7"/>
    <w:rsid w:val="00CA238D"/>
    <w:rsid w:val="00CA24D8"/>
    <w:rsid w:val="00CA2FE9"/>
    <w:rsid w:val="00CA31AC"/>
    <w:rsid w:val="00CA378B"/>
    <w:rsid w:val="00CA3CAD"/>
    <w:rsid w:val="00CA3D78"/>
    <w:rsid w:val="00CA4A6B"/>
    <w:rsid w:val="00CA4A8F"/>
    <w:rsid w:val="00CA4A9E"/>
    <w:rsid w:val="00CA4DD7"/>
    <w:rsid w:val="00CA5940"/>
    <w:rsid w:val="00CA5A63"/>
    <w:rsid w:val="00CA5AA6"/>
    <w:rsid w:val="00CA6018"/>
    <w:rsid w:val="00CA7136"/>
    <w:rsid w:val="00CA714B"/>
    <w:rsid w:val="00CA7486"/>
    <w:rsid w:val="00CA77C2"/>
    <w:rsid w:val="00CA77FF"/>
    <w:rsid w:val="00CA7829"/>
    <w:rsid w:val="00CA7845"/>
    <w:rsid w:val="00CA7979"/>
    <w:rsid w:val="00CA7A92"/>
    <w:rsid w:val="00CA7FE5"/>
    <w:rsid w:val="00CB0985"/>
    <w:rsid w:val="00CB0B96"/>
    <w:rsid w:val="00CB1100"/>
    <w:rsid w:val="00CB14F6"/>
    <w:rsid w:val="00CB1AFE"/>
    <w:rsid w:val="00CB1B92"/>
    <w:rsid w:val="00CB1EF6"/>
    <w:rsid w:val="00CB1F59"/>
    <w:rsid w:val="00CB2073"/>
    <w:rsid w:val="00CB218B"/>
    <w:rsid w:val="00CB21DB"/>
    <w:rsid w:val="00CB2387"/>
    <w:rsid w:val="00CB2718"/>
    <w:rsid w:val="00CB27EF"/>
    <w:rsid w:val="00CB2A49"/>
    <w:rsid w:val="00CB3222"/>
    <w:rsid w:val="00CB38D8"/>
    <w:rsid w:val="00CB4056"/>
    <w:rsid w:val="00CB4223"/>
    <w:rsid w:val="00CB42CF"/>
    <w:rsid w:val="00CB45DB"/>
    <w:rsid w:val="00CB47D5"/>
    <w:rsid w:val="00CB4D6A"/>
    <w:rsid w:val="00CB4F5D"/>
    <w:rsid w:val="00CB5075"/>
    <w:rsid w:val="00CB5125"/>
    <w:rsid w:val="00CB5C29"/>
    <w:rsid w:val="00CB5F8F"/>
    <w:rsid w:val="00CB612E"/>
    <w:rsid w:val="00CB6191"/>
    <w:rsid w:val="00CB6383"/>
    <w:rsid w:val="00CB6498"/>
    <w:rsid w:val="00CB69AE"/>
    <w:rsid w:val="00CB6D54"/>
    <w:rsid w:val="00CB6E3A"/>
    <w:rsid w:val="00CB7894"/>
    <w:rsid w:val="00CB791C"/>
    <w:rsid w:val="00CB7E34"/>
    <w:rsid w:val="00CC03B9"/>
    <w:rsid w:val="00CC03C0"/>
    <w:rsid w:val="00CC063F"/>
    <w:rsid w:val="00CC0A84"/>
    <w:rsid w:val="00CC0C1C"/>
    <w:rsid w:val="00CC0CA5"/>
    <w:rsid w:val="00CC0D3C"/>
    <w:rsid w:val="00CC0DC1"/>
    <w:rsid w:val="00CC105E"/>
    <w:rsid w:val="00CC126F"/>
    <w:rsid w:val="00CC12E6"/>
    <w:rsid w:val="00CC1324"/>
    <w:rsid w:val="00CC1703"/>
    <w:rsid w:val="00CC1984"/>
    <w:rsid w:val="00CC1BFF"/>
    <w:rsid w:val="00CC203F"/>
    <w:rsid w:val="00CC218F"/>
    <w:rsid w:val="00CC21F3"/>
    <w:rsid w:val="00CC2296"/>
    <w:rsid w:val="00CC25D7"/>
    <w:rsid w:val="00CC2607"/>
    <w:rsid w:val="00CC293A"/>
    <w:rsid w:val="00CC2D9E"/>
    <w:rsid w:val="00CC30D9"/>
    <w:rsid w:val="00CC3783"/>
    <w:rsid w:val="00CC3802"/>
    <w:rsid w:val="00CC38E2"/>
    <w:rsid w:val="00CC391F"/>
    <w:rsid w:val="00CC4610"/>
    <w:rsid w:val="00CC46B5"/>
    <w:rsid w:val="00CC491C"/>
    <w:rsid w:val="00CC4943"/>
    <w:rsid w:val="00CC4C49"/>
    <w:rsid w:val="00CC4D4D"/>
    <w:rsid w:val="00CC4FC4"/>
    <w:rsid w:val="00CC5127"/>
    <w:rsid w:val="00CC52C8"/>
    <w:rsid w:val="00CC5C4F"/>
    <w:rsid w:val="00CC5F3C"/>
    <w:rsid w:val="00CC6009"/>
    <w:rsid w:val="00CC60C9"/>
    <w:rsid w:val="00CC627B"/>
    <w:rsid w:val="00CC66E6"/>
    <w:rsid w:val="00CC6CE7"/>
    <w:rsid w:val="00CC6F3D"/>
    <w:rsid w:val="00CC7428"/>
    <w:rsid w:val="00CC74D3"/>
    <w:rsid w:val="00CC7547"/>
    <w:rsid w:val="00CC7742"/>
    <w:rsid w:val="00CC7A3F"/>
    <w:rsid w:val="00CC7AFA"/>
    <w:rsid w:val="00CD00BF"/>
    <w:rsid w:val="00CD065B"/>
    <w:rsid w:val="00CD178D"/>
    <w:rsid w:val="00CD1D6D"/>
    <w:rsid w:val="00CD23CC"/>
    <w:rsid w:val="00CD23DB"/>
    <w:rsid w:val="00CD24B9"/>
    <w:rsid w:val="00CD2ABD"/>
    <w:rsid w:val="00CD3741"/>
    <w:rsid w:val="00CD3D36"/>
    <w:rsid w:val="00CD488B"/>
    <w:rsid w:val="00CD48A2"/>
    <w:rsid w:val="00CD492D"/>
    <w:rsid w:val="00CD4D5D"/>
    <w:rsid w:val="00CD4F71"/>
    <w:rsid w:val="00CD4FB7"/>
    <w:rsid w:val="00CD4FF0"/>
    <w:rsid w:val="00CD5230"/>
    <w:rsid w:val="00CD55F7"/>
    <w:rsid w:val="00CD56BE"/>
    <w:rsid w:val="00CD56D4"/>
    <w:rsid w:val="00CD63BA"/>
    <w:rsid w:val="00CD69E5"/>
    <w:rsid w:val="00CD6AFB"/>
    <w:rsid w:val="00CD6B10"/>
    <w:rsid w:val="00CD6B15"/>
    <w:rsid w:val="00CD6C8F"/>
    <w:rsid w:val="00CD6D6E"/>
    <w:rsid w:val="00CD6F68"/>
    <w:rsid w:val="00CD6F9E"/>
    <w:rsid w:val="00CD71FF"/>
    <w:rsid w:val="00CD764C"/>
    <w:rsid w:val="00CD7BA5"/>
    <w:rsid w:val="00CD7F7D"/>
    <w:rsid w:val="00CE000A"/>
    <w:rsid w:val="00CE0607"/>
    <w:rsid w:val="00CE06A9"/>
    <w:rsid w:val="00CE06E1"/>
    <w:rsid w:val="00CE076B"/>
    <w:rsid w:val="00CE0A6A"/>
    <w:rsid w:val="00CE0C20"/>
    <w:rsid w:val="00CE0DFD"/>
    <w:rsid w:val="00CE0EC7"/>
    <w:rsid w:val="00CE0F8D"/>
    <w:rsid w:val="00CE129A"/>
    <w:rsid w:val="00CE1387"/>
    <w:rsid w:val="00CE150F"/>
    <w:rsid w:val="00CE169C"/>
    <w:rsid w:val="00CE1CCF"/>
    <w:rsid w:val="00CE21E1"/>
    <w:rsid w:val="00CE239B"/>
    <w:rsid w:val="00CE2A0D"/>
    <w:rsid w:val="00CE2A1C"/>
    <w:rsid w:val="00CE2C33"/>
    <w:rsid w:val="00CE2ED3"/>
    <w:rsid w:val="00CE2EE6"/>
    <w:rsid w:val="00CE31A2"/>
    <w:rsid w:val="00CE32A2"/>
    <w:rsid w:val="00CE3750"/>
    <w:rsid w:val="00CE3888"/>
    <w:rsid w:val="00CE3AC9"/>
    <w:rsid w:val="00CE3B5F"/>
    <w:rsid w:val="00CE3C53"/>
    <w:rsid w:val="00CE3DC6"/>
    <w:rsid w:val="00CE3F99"/>
    <w:rsid w:val="00CE4622"/>
    <w:rsid w:val="00CE54C1"/>
    <w:rsid w:val="00CE5684"/>
    <w:rsid w:val="00CE5806"/>
    <w:rsid w:val="00CE58BC"/>
    <w:rsid w:val="00CE58C5"/>
    <w:rsid w:val="00CE5F82"/>
    <w:rsid w:val="00CE60CA"/>
    <w:rsid w:val="00CE6616"/>
    <w:rsid w:val="00CE67C9"/>
    <w:rsid w:val="00CE6937"/>
    <w:rsid w:val="00CE6FC5"/>
    <w:rsid w:val="00CE7775"/>
    <w:rsid w:val="00CE783A"/>
    <w:rsid w:val="00CE79C3"/>
    <w:rsid w:val="00CE7D47"/>
    <w:rsid w:val="00CE7DFC"/>
    <w:rsid w:val="00CE7E98"/>
    <w:rsid w:val="00CE7F61"/>
    <w:rsid w:val="00CE7FB7"/>
    <w:rsid w:val="00CF01EB"/>
    <w:rsid w:val="00CF0258"/>
    <w:rsid w:val="00CF02E7"/>
    <w:rsid w:val="00CF0591"/>
    <w:rsid w:val="00CF0D82"/>
    <w:rsid w:val="00CF0E94"/>
    <w:rsid w:val="00CF0EB1"/>
    <w:rsid w:val="00CF1123"/>
    <w:rsid w:val="00CF1146"/>
    <w:rsid w:val="00CF1471"/>
    <w:rsid w:val="00CF1518"/>
    <w:rsid w:val="00CF17EA"/>
    <w:rsid w:val="00CF1A63"/>
    <w:rsid w:val="00CF1EA6"/>
    <w:rsid w:val="00CF2303"/>
    <w:rsid w:val="00CF2866"/>
    <w:rsid w:val="00CF2929"/>
    <w:rsid w:val="00CF29D3"/>
    <w:rsid w:val="00CF2A51"/>
    <w:rsid w:val="00CF2AB2"/>
    <w:rsid w:val="00CF2C57"/>
    <w:rsid w:val="00CF2E71"/>
    <w:rsid w:val="00CF3101"/>
    <w:rsid w:val="00CF33CF"/>
    <w:rsid w:val="00CF3460"/>
    <w:rsid w:val="00CF36DC"/>
    <w:rsid w:val="00CF37C0"/>
    <w:rsid w:val="00CF3903"/>
    <w:rsid w:val="00CF40E2"/>
    <w:rsid w:val="00CF4238"/>
    <w:rsid w:val="00CF44E5"/>
    <w:rsid w:val="00CF4667"/>
    <w:rsid w:val="00CF4B3F"/>
    <w:rsid w:val="00CF4B8C"/>
    <w:rsid w:val="00CF4CA3"/>
    <w:rsid w:val="00CF4FE0"/>
    <w:rsid w:val="00CF4FE9"/>
    <w:rsid w:val="00CF523C"/>
    <w:rsid w:val="00CF5245"/>
    <w:rsid w:val="00CF5C70"/>
    <w:rsid w:val="00CF618B"/>
    <w:rsid w:val="00CF646D"/>
    <w:rsid w:val="00CF6749"/>
    <w:rsid w:val="00CF73D0"/>
    <w:rsid w:val="00CF74FA"/>
    <w:rsid w:val="00CF79A8"/>
    <w:rsid w:val="00CF7ACE"/>
    <w:rsid w:val="00CF7F20"/>
    <w:rsid w:val="00CF7F3E"/>
    <w:rsid w:val="00D0016A"/>
    <w:rsid w:val="00D001D2"/>
    <w:rsid w:val="00D004E6"/>
    <w:rsid w:val="00D00714"/>
    <w:rsid w:val="00D0075E"/>
    <w:rsid w:val="00D00813"/>
    <w:rsid w:val="00D00D21"/>
    <w:rsid w:val="00D0104E"/>
    <w:rsid w:val="00D01161"/>
    <w:rsid w:val="00D01391"/>
    <w:rsid w:val="00D01676"/>
    <w:rsid w:val="00D01767"/>
    <w:rsid w:val="00D0194B"/>
    <w:rsid w:val="00D01A94"/>
    <w:rsid w:val="00D01CDA"/>
    <w:rsid w:val="00D01E24"/>
    <w:rsid w:val="00D020C1"/>
    <w:rsid w:val="00D020EF"/>
    <w:rsid w:val="00D02194"/>
    <w:rsid w:val="00D02511"/>
    <w:rsid w:val="00D02544"/>
    <w:rsid w:val="00D02733"/>
    <w:rsid w:val="00D02791"/>
    <w:rsid w:val="00D02B32"/>
    <w:rsid w:val="00D02B52"/>
    <w:rsid w:val="00D02BA3"/>
    <w:rsid w:val="00D03218"/>
    <w:rsid w:val="00D03406"/>
    <w:rsid w:val="00D0349C"/>
    <w:rsid w:val="00D03CC5"/>
    <w:rsid w:val="00D03E54"/>
    <w:rsid w:val="00D03FD7"/>
    <w:rsid w:val="00D04026"/>
    <w:rsid w:val="00D04120"/>
    <w:rsid w:val="00D04349"/>
    <w:rsid w:val="00D04396"/>
    <w:rsid w:val="00D0478E"/>
    <w:rsid w:val="00D04851"/>
    <w:rsid w:val="00D049AB"/>
    <w:rsid w:val="00D04A59"/>
    <w:rsid w:val="00D04AB4"/>
    <w:rsid w:val="00D04B91"/>
    <w:rsid w:val="00D04ED0"/>
    <w:rsid w:val="00D04FA2"/>
    <w:rsid w:val="00D05D2C"/>
    <w:rsid w:val="00D0608D"/>
    <w:rsid w:val="00D06475"/>
    <w:rsid w:val="00D065B5"/>
    <w:rsid w:val="00D065EB"/>
    <w:rsid w:val="00D068BC"/>
    <w:rsid w:val="00D06C94"/>
    <w:rsid w:val="00D07486"/>
    <w:rsid w:val="00D0751C"/>
    <w:rsid w:val="00D075E3"/>
    <w:rsid w:val="00D07645"/>
    <w:rsid w:val="00D07704"/>
    <w:rsid w:val="00D07AF2"/>
    <w:rsid w:val="00D07C56"/>
    <w:rsid w:val="00D07E4F"/>
    <w:rsid w:val="00D07F7D"/>
    <w:rsid w:val="00D10BB7"/>
    <w:rsid w:val="00D10C9C"/>
    <w:rsid w:val="00D10D0D"/>
    <w:rsid w:val="00D1133C"/>
    <w:rsid w:val="00D113A9"/>
    <w:rsid w:val="00D11A6D"/>
    <w:rsid w:val="00D11BFE"/>
    <w:rsid w:val="00D11CCE"/>
    <w:rsid w:val="00D12692"/>
    <w:rsid w:val="00D12AC4"/>
    <w:rsid w:val="00D12E32"/>
    <w:rsid w:val="00D13050"/>
    <w:rsid w:val="00D13747"/>
    <w:rsid w:val="00D13FD2"/>
    <w:rsid w:val="00D141B6"/>
    <w:rsid w:val="00D14544"/>
    <w:rsid w:val="00D14A5D"/>
    <w:rsid w:val="00D14C1F"/>
    <w:rsid w:val="00D1521E"/>
    <w:rsid w:val="00D15292"/>
    <w:rsid w:val="00D15529"/>
    <w:rsid w:val="00D155EE"/>
    <w:rsid w:val="00D158B6"/>
    <w:rsid w:val="00D16008"/>
    <w:rsid w:val="00D16196"/>
    <w:rsid w:val="00D163B1"/>
    <w:rsid w:val="00D1656E"/>
    <w:rsid w:val="00D16AE0"/>
    <w:rsid w:val="00D16DB4"/>
    <w:rsid w:val="00D17159"/>
    <w:rsid w:val="00D177AB"/>
    <w:rsid w:val="00D17C69"/>
    <w:rsid w:val="00D17E7F"/>
    <w:rsid w:val="00D17EA5"/>
    <w:rsid w:val="00D2003B"/>
    <w:rsid w:val="00D2073F"/>
    <w:rsid w:val="00D208D5"/>
    <w:rsid w:val="00D20915"/>
    <w:rsid w:val="00D20C35"/>
    <w:rsid w:val="00D2109E"/>
    <w:rsid w:val="00D210AC"/>
    <w:rsid w:val="00D21119"/>
    <w:rsid w:val="00D21780"/>
    <w:rsid w:val="00D2190F"/>
    <w:rsid w:val="00D21990"/>
    <w:rsid w:val="00D21BB7"/>
    <w:rsid w:val="00D21D9A"/>
    <w:rsid w:val="00D21DB6"/>
    <w:rsid w:val="00D2232C"/>
    <w:rsid w:val="00D22404"/>
    <w:rsid w:val="00D226F9"/>
    <w:rsid w:val="00D227A2"/>
    <w:rsid w:val="00D22C77"/>
    <w:rsid w:val="00D232C4"/>
    <w:rsid w:val="00D23DB4"/>
    <w:rsid w:val="00D23E8F"/>
    <w:rsid w:val="00D23F4E"/>
    <w:rsid w:val="00D2420D"/>
    <w:rsid w:val="00D2438D"/>
    <w:rsid w:val="00D24A2A"/>
    <w:rsid w:val="00D24D4B"/>
    <w:rsid w:val="00D252CA"/>
    <w:rsid w:val="00D2566B"/>
    <w:rsid w:val="00D257F0"/>
    <w:rsid w:val="00D2587F"/>
    <w:rsid w:val="00D26119"/>
    <w:rsid w:val="00D2637A"/>
    <w:rsid w:val="00D2656E"/>
    <w:rsid w:val="00D2678A"/>
    <w:rsid w:val="00D26EDE"/>
    <w:rsid w:val="00D27427"/>
    <w:rsid w:val="00D27581"/>
    <w:rsid w:val="00D27F36"/>
    <w:rsid w:val="00D301BE"/>
    <w:rsid w:val="00D30624"/>
    <w:rsid w:val="00D306FB"/>
    <w:rsid w:val="00D30DB9"/>
    <w:rsid w:val="00D31268"/>
    <w:rsid w:val="00D31A02"/>
    <w:rsid w:val="00D31D91"/>
    <w:rsid w:val="00D31E79"/>
    <w:rsid w:val="00D320E5"/>
    <w:rsid w:val="00D32251"/>
    <w:rsid w:val="00D324D9"/>
    <w:rsid w:val="00D3275D"/>
    <w:rsid w:val="00D32DAE"/>
    <w:rsid w:val="00D32F87"/>
    <w:rsid w:val="00D33250"/>
    <w:rsid w:val="00D334DA"/>
    <w:rsid w:val="00D334E8"/>
    <w:rsid w:val="00D33C91"/>
    <w:rsid w:val="00D33E6E"/>
    <w:rsid w:val="00D34106"/>
    <w:rsid w:val="00D34540"/>
    <w:rsid w:val="00D3455B"/>
    <w:rsid w:val="00D345C4"/>
    <w:rsid w:val="00D345E1"/>
    <w:rsid w:val="00D346A3"/>
    <w:rsid w:val="00D346ED"/>
    <w:rsid w:val="00D348AC"/>
    <w:rsid w:val="00D34976"/>
    <w:rsid w:val="00D34A90"/>
    <w:rsid w:val="00D34B17"/>
    <w:rsid w:val="00D34E6E"/>
    <w:rsid w:val="00D35671"/>
    <w:rsid w:val="00D35E34"/>
    <w:rsid w:val="00D36176"/>
    <w:rsid w:val="00D369F7"/>
    <w:rsid w:val="00D373E4"/>
    <w:rsid w:val="00D375EB"/>
    <w:rsid w:val="00D37794"/>
    <w:rsid w:val="00D37D1E"/>
    <w:rsid w:val="00D37FFD"/>
    <w:rsid w:val="00D4003C"/>
    <w:rsid w:val="00D40147"/>
    <w:rsid w:val="00D4039B"/>
    <w:rsid w:val="00D40B7A"/>
    <w:rsid w:val="00D40CF9"/>
    <w:rsid w:val="00D40F33"/>
    <w:rsid w:val="00D4104A"/>
    <w:rsid w:val="00D411C4"/>
    <w:rsid w:val="00D41EE3"/>
    <w:rsid w:val="00D42461"/>
    <w:rsid w:val="00D42626"/>
    <w:rsid w:val="00D42E48"/>
    <w:rsid w:val="00D43073"/>
    <w:rsid w:val="00D4376E"/>
    <w:rsid w:val="00D437A5"/>
    <w:rsid w:val="00D43A59"/>
    <w:rsid w:val="00D43B96"/>
    <w:rsid w:val="00D43C55"/>
    <w:rsid w:val="00D43F54"/>
    <w:rsid w:val="00D44009"/>
    <w:rsid w:val="00D440FE"/>
    <w:rsid w:val="00D44249"/>
    <w:rsid w:val="00D4426B"/>
    <w:rsid w:val="00D4436D"/>
    <w:rsid w:val="00D4439D"/>
    <w:rsid w:val="00D448C9"/>
    <w:rsid w:val="00D44DD8"/>
    <w:rsid w:val="00D4541F"/>
    <w:rsid w:val="00D456B2"/>
    <w:rsid w:val="00D45DC9"/>
    <w:rsid w:val="00D45E71"/>
    <w:rsid w:val="00D46737"/>
    <w:rsid w:val="00D467F4"/>
    <w:rsid w:val="00D46842"/>
    <w:rsid w:val="00D46BAF"/>
    <w:rsid w:val="00D46BF4"/>
    <w:rsid w:val="00D46D8A"/>
    <w:rsid w:val="00D47192"/>
    <w:rsid w:val="00D471A7"/>
    <w:rsid w:val="00D472E0"/>
    <w:rsid w:val="00D47347"/>
    <w:rsid w:val="00D477B6"/>
    <w:rsid w:val="00D47AF9"/>
    <w:rsid w:val="00D47DF9"/>
    <w:rsid w:val="00D50079"/>
    <w:rsid w:val="00D50787"/>
    <w:rsid w:val="00D50890"/>
    <w:rsid w:val="00D50A4B"/>
    <w:rsid w:val="00D50BF1"/>
    <w:rsid w:val="00D50EA1"/>
    <w:rsid w:val="00D50F03"/>
    <w:rsid w:val="00D513BA"/>
    <w:rsid w:val="00D514BC"/>
    <w:rsid w:val="00D515D4"/>
    <w:rsid w:val="00D51832"/>
    <w:rsid w:val="00D51899"/>
    <w:rsid w:val="00D51F44"/>
    <w:rsid w:val="00D5221E"/>
    <w:rsid w:val="00D52244"/>
    <w:rsid w:val="00D52332"/>
    <w:rsid w:val="00D52583"/>
    <w:rsid w:val="00D525A2"/>
    <w:rsid w:val="00D527A0"/>
    <w:rsid w:val="00D529D8"/>
    <w:rsid w:val="00D52E3D"/>
    <w:rsid w:val="00D52E79"/>
    <w:rsid w:val="00D530EF"/>
    <w:rsid w:val="00D5326D"/>
    <w:rsid w:val="00D53609"/>
    <w:rsid w:val="00D53722"/>
    <w:rsid w:val="00D53935"/>
    <w:rsid w:val="00D5393E"/>
    <w:rsid w:val="00D53DFE"/>
    <w:rsid w:val="00D54181"/>
    <w:rsid w:val="00D5496C"/>
    <w:rsid w:val="00D54CC6"/>
    <w:rsid w:val="00D54D2E"/>
    <w:rsid w:val="00D55126"/>
    <w:rsid w:val="00D55935"/>
    <w:rsid w:val="00D559A8"/>
    <w:rsid w:val="00D55A47"/>
    <w:rsid w:val="00D55AE9"/>
    <w:rsid w:val="00D55B79"/>
    <w:rsid w:val="00D55F50"/>
    <w:rsid w:val="00D55FA0"/>
    <w:rsid w:val="00D55FDA"/>
    <w:rsid w:val="00D56BD3"/>
    <w:rsid w:val="00D577F1"/>
    <w:rsid w:val="00D57B40"/>
    <w:rsid w:val="00D57E35"/>
    <w:rsid w:val="00D6016A"/>
    <w:rsid w:val="00D615BA"/>
    <w:rsid w:val="00D6168A"/>
    <w:rsid w:val="00D61A40"/>
    <w:rsid w:val="00D61C0E"/>
    <w:rsid w:val="00D61CBF"/>
    <w:rsid w:val="00D61EDD"/>
    <w:rsid w:val="00D622BD"/>
    <w:rsid w:val="00D62753"/>
    <w:rsid w:val="00D63216"/>
    <w:rsid w:val="00D6323F"/>
    <w:rsid w:val="00D63242"/>
    <w:rsid w:val="00D6328F"/>
    <w:rsid w:val="00D6336E"/>
    <w:rsid w:val="00D638F4"/>
    <w:rsid w:val="00D63A6E"/>
    <w:rsid w:val="00D63AAA"/>
    <w:rsid w:val="00D63BDD"/>
    <w:rsid w:val="00D63F02"/>
    <w:rsid w:val="00D642AC"/>
    <w:rsid w:val="00D6433E"/>
    <w:rsid w:val="00D64609"/>
    <w:rsid w:val="00D6484F"/>
    <w:rsid w:val="00D65205"/>
    <w:rsid w:val="00D65308"/>
    <w:rsid w:val="00D6538A"/>
    <w:rsid w:val="00D65521"/>
    <w:rsid w:val="00D655E9"/>
    <w:rsid w:val="00D65952"/>
    <w:rsid w:val="00D659E3"/>
    <w:rsid w:val="00D66473"/>
    <w:rsid w:val="00D66B16"/>
    <w:rsid w:val="00D66D7A"/>
    <w:rsid w:val="00D671FD"/>
    <w:rsid w:val="00D6748A"/>
    <w:rsid w:val="00D6771B"/>
    <w:rsid w:val="00D67C0F"/>
    <w:rsid w:val="00D67D59"/>
    <w:rsid w:val="00D67F43"/>
    <w:rsid w:val="00D67F46"/>
    <w:rsid w:val="00D7035A"/>
    <w:rsid w:val="00D703DD"/>
    <w:rsid w:val="00D70629"/>
    <w:rsid w:val="00D7067B"/>
    <w:rsid w:val="00D7068D"/>
    <w:rsid w:val="00D707BC"/>
    <w:rsid w:val="00D707EE"/>
    <w:rsid w:val="00D709C4"/>
    <w:rsid w:val="00D7100C"/>
    <w:rsid w:val="00D714F0"/>
    <w:rsid w:val="00D71CCD"/>
    <w:rsid w:val="00D71ED7"/>
    <w:rsid w:val="00D721CD"/>
    <w:rsid w:val="00D72352"/>
    <w:rsid w:val="00D7249A"/>
    <w:rsid w:val="00D725CC"/>
    <w:rsid w:val="00D725DF"/>
    <w:rsid w:val="00D727D9"/>
    <w:rsid w:val="00D72BB7"/>
    <w:rsid w:val="00D72D4A"/>
    <w:rsid w:val="00D73685"/>
    <w:rsid w:val="00D7399A"/>
    <w:rsid w:val="00D7401B"/>
    <w:rsid w:val="00D7418A"/>
    <w:rsid w:val="00D74796"/>
    <w:rsid w:val="00D74E07"/>
    <w:rsid w:val="00D752AA"/>
    <w:rsid w:val="00D75B24"/>
    <w:rsid w:val="00D75EAB"/>
    <w:rsid w:val="00D76141"/>
    <w:rsid w:val="00D76173"/>
    <w:rsid w:val="00D762AB"/>
    <w:rsid w:val="00D76485"/>
    <w:rsid w:val="00D76CD5"/>
    <w:rsid w:val="00D7721C"/>
    <w:rsid w:val="00D775D4"/>
    <w:rsid w:val="00D77D6E"/>
    <w:rsid w:val="00D800D4"/>
    <w:rsid w:val="00D800F5"/>
    <w:rsid w:val="00D80306"/>
    <w:rsid w:val="00D80602"/>
    <w:rsid w:val="00D8104C"/>
    <w:rsid w:val="00D811A7"/>
    <w:rsid w:val="00D81872"/>
    <w:rsid w:val="00D818D9"/>
    <w:rsid w:val="00D823D1"/>
    <w:rsid w:val="00D824DA"/>
    <w:rsid w:val="00D8264D"/>
    <w:rsid w:val="00D82763"/>
    <w:rsid w:val="00D82D60"/>
    <w:rsid w:val="00D82EA2"/>
    <w:rsid w:val="00D82FED"/>
    <w:rsid w:val="00D830F5"/>
    <w:rsid w:val="00D8319C"/>
    <w:rsid w:val="00D83906"/>
    <w:rsid w:val="00D844FF"/>
    <w:rsid w:val="00D8519D"/>
    <w:rsid w:val="00D85591"/>
    <w:rsid w:val="00D857C6"/>
    <w:rsid w:val="00D859C9"/>
    <w:rsid w:val="00D85A6B"/>
    <w:rsid w:val="00D85A8B"/>
    <w:rsid w:val="00D8627D"/>
    <w:rsid w:val="00D86756"/>
    <w:rsid w:val="00D869F6"/>
    <w:rsid w:val="00D86BB5"/>
    <w:rsid w:val="00D86BD3"/>
    <w:rsid w:val="00D86C82"/>
    <w:rsid w:val="00D86E28"/>
    <w:rsid w:val="00D8701A"/>
    <w:rsid w:val="00D87046"/>
    <w:rsid w:val="00D87FE7"/>
    <w:rsid w:val="00D90669"/>
    <w:rsid w:val="00D90891"/>
    <w:rsid w:val="00D914CD"/>
    <w:rsid w:val="00D91B94"/>
    <w:rsid w:val="00D92194"/>
    <w:rsid w:val="00D92715"/>
    <w:rsid w:val="00D92A2B"/>
    <w:rsid w:val="00D92ABE"/>
    <w:rsid w:val="00D92ADD"/>
    <w:rsid w:val="00D92C69"/>
    <w:rsid w:val="00D92FC1"/>
    <w:rsid w:val="00D935FB"/>
    <w:rsid w:val="00D93F56"/>
    <w:rsid w:val="00D9439E"/>
    <w:rsid w:val="00D943BE"/>
    <w:rsid w:val="00D94A3D"/>
    <w:rsid w:val="00D94CDC"/>
    <w:rsid w:val="00D94E6B"/>
    <w:rsid w:val="00D94F30"/>
    <w:rsid w:val="00D953C1"/>
    <w:rsid w:val="00D9551B"/>
    <w:rsid w:val="00D955B6"/>
    <w:rsid w:val="00D9580D"/>
    <w:rsid w:val="00D95AAF"/>
    <w:rsid w:val="00D95FF2"/>
    <w:rsid w:val="00D96062"/>
    <w:rsid w:val="00D9612E"/>
    <w:rsid w:val="00D962B4"/>
    <w:rsid w:val="00D96418"/>
    <w:rsid w:val="00D966CE"/>
    <w:rsid w:val="00D96B34"/>
    <w:rsid w:val="00D96DF0"/>
    <w:rsid w:val="00D97AB8"/>
    <w:rsid w:val="00D97C52"/>
    <w:rsid w:val="00D97D6F"/>
    <w:rsid w:val="00D97D80"/>
    <w:rsid w:val="00D97DA9"/>
    <w:rsid w:val="00D97E40"/>
    <w:rsid w:val="00DA0389"/>
    <w:rsid w:val="00DA0568"/>
    <w:rsid w:val="00DA05FD"/>
    <w:rsid w:val="00DA068E"/>
    <w:rsid w:val="00DA0851"/>
    <w:rsid w:val="00DA0928"/>
    <w:rsid w:val="00DA0A26"/>
    <w:rsid w:val="00DA0E0C"/>
    <w:rsid w:val="00DA1490"/>
    <w:rsid w:val="00DA17C1"/>
    <w:rsid w:val="00DA1A03"/>
    <w:rsid w:val="00DA1FB9"/>
    <w:rsid w:val="00DA2746"/>
    <w:rsid w:val="00DA281C"/>
    <w:rsid w:val="00DA2CB2"/>
    <w:rsid w:val="00DA2D93"/>
    <w:rsid w:val="00DA2DFE"/>
    <w:rsid w:val="00DA2E03"/>
    <w:rsid w:val="00DA3622"/>
    <w:rsid w:val="00DA3A24"/>
    <w:rsid w:val="00DA3C3F"/>
    <w:rsid w:val="00DA41A8"/>
    <w:rsid w:val="00DA42A8"/>
    <w:rsid w:val="00DA4449"/>
    <w:rsid w:val="00DA45AB"/>
    <w:rsid w:val="00DA4853"/>
    <w:rsid w:val="00DA493D"/>
    <w:rsid w:val="00DA4F89"/>
    <w:rsid w:val="00DA4FD3"/>
    <w:rsid w:val="00DA5032"/>
    <w:rsid w:val="00DA51E1"/>
    <w:rsid w:val="00DA54ED"/>
    <w:rsid w:val="00DA570D"/>
    <w:rsid w:val="00DA587D"/>
    <w:rsid w:val="00DA5DDF"/>
    <w:rsid w:val="00DA68F7"/>
    <w:rsid w:val="00DA6B2D"/>
    <w:rsid w:val="00DA6BA6"/>
    <w:rsid w:val="00DA6D26"/>
    <w:rsid w:val="00DA6E6B"/>
    <w:rsid w:val="00DA70D5"/>
    <w:rsid w:val="00DA70F0"/>
    <w:rsid w:val="00DA7550"/>
    <w:rsid w:val="00DA79C4"/>
    <w:rsid w:val="00DA7C35"/>
    <w:rsid w:val="00DA7C59"/>
    <w:rsid w:val="00DA7D30"/>
    <w:rsid w:val="00DA7E18"/>
    <w:rsid w:val="00DA7F86"/>
    <w:rsid w:val="00DB0507"/>
    <w:rsid w:val="00DB0586"/>
    <w:rsid w:val="00DB0B68"/>
    <w:rsid w:val="00DB111B"/>
    <w:rsid w:val="00DB1133"/>
    <w:rsid w:val="00DB1280"/>
    <w:rsid w:val="00DB145E"/>
    <w:rsid w:val="00DB1624"/>
    <w:rsid w:val="00DB1692"/>
    <w:rsid w:val="00DB184F"/>
    <w:rsid w:val="00DB1D3A"/>
    <w:rsid w:val="00DB2034"/>
    <w:rsid w:val="00DB21F2"/>
    <w:rsid w:val="00DB2225"/>
    <w:rsid w:val="00DB2373"/>
    <w:rsid w:val="00DB27F5"/>
    <w:rsid w:val="00DB2885"/>
    <w:rsid w:val="00DB298A"/>
    <w:rsid w:val="00DB2AC8"/>
    <w:rsid w:val="00DB2E8A"/>
    <w:rsid w:val="00DB30B3"/>
    <w:rsid w:val="00DB35DF"/>
    <w:rsid w:val="00DB36DE"/>
    <w:rsid w:val="00DB387E"/>
    <w:rsid w:val="00DB391D"/>
    <w:rsid w:val="00DB3F70"/>
    <w:rsid w:val="00DB42BD"/>
    <w:rsid w:val="00DB4649"/>
    <w:rsid w:val="00DB4B7D"/>
    <w:rsid w:val="00DB4EB2"/>
    <w:rsid w:val="00DB517A"/>
    <w:rsid w:val="00DB52D8"/>
    <w:rsid w:val="00DB5693"/>
    <w:rsid w:val="00DB57AC"/>
    <w:rsid w:val="00DB58A3"/>
    <w:rsid w:val="00DB5E55"/>
    <w:rsid w:val="00DB628C"/>
    <w:rsid w:val="00DB6A4D"/>
    <w:rsid w:val="00DB6C00"/>
    <w:rsid w:val="00DB6C41"/>
    <w:rsid w:val="00DB6D31"/>
    <w:rsid w:val="00DB707B"/>
    <w:rsid w:val="00DB7713"/>
    <w:rsid w:val="00DB772C"/>
    <w:rsid w:val="00DB786C"/>
    <w:rsid w:val="00DB7A2E"/>
    <w:rsid w:val="00DB7B65"/>
    <w:rsid w:val="00DB7BBD"/>
    <w:rsid w:val="00DB7D17"/>
    <w:rsid w:val="00DB7E57"/>
    <w:rsid w:val="00DC0B3B"/>
    <w:rsid w:val="00DC145F"/>
    <w:rsid w:val="00DC19BD"/>
    <w:rsid w:val="00DC1A85"/>
    <w:rsid w:val="00DC1AFB"/>
    <w:rsid w:val="00DC2030"/>
    <w:rsid w:val="00DC21E0"/>
    <w:rsid w:val="00DC2368"/>
    <w:rsid w:val="00DC2455"/>
    <w:rsid w:val="00DC26A9"/>
    <w:rsid w:val="00DC28D7"/>
    <w:rsid w:val="00DC2E17"/>
    <w:rsid w:val="00DC2F72"/>
    <w:rsid w:val="00DC31A7"/>
    <w:rsid w:val="00DC362B"/>
    <w:rsid w:val="00DC3799"/>
    <w:rsid w:val="00DC3D6E"/>
    <w:rsid w:val="00DC4E21"/>
    <w:rsid w:val="00DC4E5E"/>
    <w:rsid w:val="00DC5364"/>
    <w:rsid w:val="00DC56A9"/>
    <w:rsid w:val="00DC57F4"/>
    <w:rsid w:val="00DC585F"/>
    <w:rsid w:val="00DC5BC2"/>
    <w:rsid w:val="00DC5EEE"/>
    <w:rsid w:val="00DC65E1"/>
    <w:rsid w:val="00DC6A8A"/>
    <w:rsid w:val="00DC6C28"/>
    <w:rsid w:val="00DC6F46"/>
    <w:rsid w:val="00DC70DC"/>
    <w:rsid w:val="00DC7319"/>
    <w:rsid w:val="00DC773C"/>
    <w:rsid w:val="00DC794C"/>
    <w:rsid w:val="00DC79BC"/>
    <w:rsid w:val="00DC7D3F"/>
    <w:rsid w:val="00DD0102"/>
    <w:rsid w:val="00DD0109"/>
    <w:rsid w:val="00DD0512"/>
    <w:rsid w:val="00DD07A5"/>
    <w:rsid w:val="00DD07EA"/>
    <w:rsid w:val="00DD0BCC"/>
    <w:rsid w:val="00DD0D3A"/>
    <w:rsid w:val="00DD0F1C"/>
    <w:rsid w:val="00DD0F95"/>
    <w:rsid w:val="00DD1063"/>
    <w:rsid w:val="00DD14AE"/>
    <w:rsid w:val="00DD1A86"/>
    <w:rsid w:val="00DD237B"/>
    <w:rsid w:val="00DD2608"/>
    <w:rsid w:val="00DD2640"/>
    <w:rsid w:val="00DD274E"/>
    <w:rsid w:val="00DD2BAC"/>
    <w:rsid w:val="00DD2CDE"/>
    <w:rsid w:val="00DD3333"/>
    <w:rsid w:val="00DD373A"/>
    <w:rsid w:val="00DD3E9A"/>
    <w:rsid w:val="00DD3EAD"/>
    <w:rsid w:val="00DD3FCF"/>
    <w:rsid w:val="00DD485B"/>
    <w:rsid w:val="00DD4A56"/>
    <w:rsid w:val="00DD4C73"/>
    <w:rsid w:val="00DD4DA0"/>
    <w:rsid w:val="00DD509A"/>
    <w:rsid w:val="00DD526F"/>
    <w:rsid w:val="00DD5298"/>
    <w:rsid w:val="00DD52EE"/>
    <w:rsid w:val="00DD536F"/>
    <w:rsid w:val="00DD606E"/>
    <w:rsid w:val="00DD6330"/>
    <w:rsid w:val="00DD634B"/>
    <w:rsid w:val="00DD65D3"/>
    <w:rsid w:val="00DD67F5"/>
    <w:rsid w:val="00DD6AC0"/>
    <w:rsid w:val="00DD6BF3"/>
    <w:rsid w:val="00DD6C7D"/>
    <w:rsid w:val="00DD78E3"/>
    <w:rsid w:val="00DE0710"/>
    <w:rsid w:val="00DE0774"/>
    <w:rsid w:val="00DE0920"/>
    <w:rsid w:val="00DE0AF7"/>
    <w:rsid w:val="00DE1121"/>
    <w:rsid w:val="00DE11B8"/>
    <w:rsid w:val="00DE1393"/>
    <w:rsid w:val="00DE1DDC"/>
    <w:rsid w:val="00DE21C4"/>
    <w:rsid w:val="00DE2907"/>
    <w:rsid w:val="00DE2D17"/>
    <w:rsid w:val="00DE2E09"/>
    <w:rsid w:val="00DE303C"/>
    <w:rsid w:val="00DE3194"/>
    <w:rsid w:val="00DE3684"/>
    <w:rsid w:val="00DE3DE6"/>
    <w:rsid w:val="00DE3F91"/>
    <w:rsid w:val="00DE4272"/>
    <w:rsid w:val="00DE44AC"/>
    <w:rsid w:val="00DE44E0"/>
    <w:rsid w:val="00DE45FC"/>
    <w:rsid w:val="00DE4830"/>
    <w:rsid w:val="00DE4D97"/>
    <w:rsid w:val="00DE4EA2"/>
    <w:rsid w:val="00DE4EDD"/>
    <w:rsid w:val="00DE50E3"/>
    <w:rsid w:val="00DE52EB"/>
    <w:rsid w:val="00DE586B"/>
    <w:rsid w:val="00DE5E99"/>
    <w:rsid w:val="00DE5E9A"/>
    <w:rsid w:val="00DE5EAC"/>
    <w:rsid w:val="00DE63A7"/>
    <w:rsid w:val="00DE70A4"/>
    <w:rsid w:val="00DE7125"/>
    <w:rsid w:val="00DE77D6"/>
    <w:rsid w:val="00DE78CD"/>
    <w:rsid w:val="00DE7F54"/>
    <w:rsid w:val="00DF022B"/>
    <w:rsid w:val="00DF05FE"/>
    <w:rsid w:val="00DF084C"/>
    <w:rsid w:val="00DF0BB5"/>
    <w:rsid w:val="00DF0F57"/>
    <w:rsid w:val="00DF0FE4"/>
    <w:rsid w:val="00DF115D"/>
    <w:rsid w:val="00DF18A8"/>
    <w:rsid w:val="00DF19B1"/>
    <w:rsid w:val="00DF1ABA"/>
    <w:rsid w:val="00DF1ECD"/>
    <w:rsid w:val="00DF20F9"/>
    <w:rsid w:val="00DF22C3"/>
    <w:rsid w:val="00DF29ED"/>
    <w:rsid w:val="00DF2B17"/>
    <w:rsid w:val="00DF2D52"/>
    <w:rsid w:val="00DF30D9"/>
    <w:rsid w:val="00DF30EC"/>
    <w:rsid w:val="00DF3172"/>
    <w:rsid w:val="00DF33CF"/>
    <w:rsid w:val="00DF3601"/>
    <w:rsid w:val="00DF3675"/>
    <w:rsid w:val="00DF3967"/>
    <w:rsid w:val="00DF3BD1"/>
    <w:rsid w:val="00DF3DC8"/>
    <w:rsid w:val="00DF43EE"/>
    <w:rsid w:val="00DF46EF"/>
    <w:rsid w:val="00DF48A8"/>
    <w:rsid w:val="00DF493D"/>
    <w:rsid w:val="00DF4954"/>
    <w:rsid w:val="00DF4A8C"/>
    <w:rsid w:val="00DF4C97"/>
    <w:rsid w:val="00DF4F06"/>
    <w:rsid w:val="00DF5001"/>
    <w:rsid w:val="00DF5249"/>
    <w:rsid w:val="00DF551A"/>
    <w:rsid w:val="00DF5849"/>
    <w:rsid w:val="00DF5887"/>
    <w:rsid w:val="00DF5A14"/>
    <w:rsid w:val="00DF5A54"/>
    <w:rsid w:val="00DF5AE3"/>
    <w:rsid w:val="00DF5CE0"/>
    <w:rsid w:val="00DF5CF2"/>
    <w:rsid w:val="00DF5E3D"/>
    <w:rsid w:val="00DF5F99"/>
    <w:rsid w:val="00DF5FB1"/>
    <w:rsid w:val="00DF6249"/>
    <w:rsid w:val="00DF632F"/>
    <w:rsid w:val="00DF63C8"/>
    <w:rsid w:val="00DF66BF"/>
    <w:rsid w:val="00DF70A5"/>
    <w:rsid w:val="00DF712C"/>
    <w:rsid w:val="00DF7257"/>
    <w:rsid w:val="00DF7309"/>
    <w:rsid w:val="00DF76C5"/>
    <w:rsid w:val="00DF7EC0"/>
    <w:rsid w:val="00DF7F90"/>
    <w:rsid w:val="00DF7FE7"/>
    <w:rsid w:val="00E0042F"/>
    <w:rsid w:val="00E00561"/>
    <w:rsid w:val="00E005D6"/>
    <w:rsid w:val="00E00629"/>
    <w:rsid w:val="00E015AD"/>
    <w:rsid w:val="00E01C2E"/>
    <w:rsid w:val="00E0241A"/>
    <w:rsid w:val="00E0250E"/>
    <w:rsid w:val="00E029C9"/>
    <w:rsid w:val="00E02E64"/>
    <w:rsid w:val="00E02ED1"/>
    <w:rsid w:val="00E02F90"/>
    <w:rsid w:val="00E03313"/>
    <w:rsid w:val="00E036EC"/>
    <w:rsid w:val="00E03819"/>
    <w:rsid w:val="00E038E5"/>
    <w:rsid w:val="00E040AD"/>
    <w:rsid w:val="00E042A0"/>
    <w:rsid w:val="00E0538E"/>
    <w:rsid w:val="00E056F3"/>
    <w:rsid w:val="00E05CB8"/>
    <w:rsid w:val="00E05D9C"/>
    <w:rsid w:val="00E06168"/>
    <w:rsid w:val="00E065EE"/>
    <w:rsid w:val="00E07171"/>
    <w:rsid w:val="00E0719C"/>
    <w:rsid w:val="00E073DA"/>
    <w:rsid w:val="00E073E8"/>
    <w:rsid w:val="00E07985"/>
    <w:rsid w:val="00E07A54"/>
    <w:rsid w:val="00E07BE7"/>
    <w:rsid w:val="00E07F02"/>
    <w:rsid w:val="00E100B4"/>
    <w:rsid w:val="00E1011C"/>
    <w:rsid w:val="00E10144"/>
    <w:rsid w:val="00E106CB"/>
    <w:rsid w:val="00E106E4"/>
    <w:rsid w:val="00E10773"/>
    <w:rsid w:val="00E1094D"/>
    <w:rsid w:val="00E1095D"/>
    <w:rsid w:val="00E1117B"/>
    <w:rsid w:val="00E118FF"/>
    <w:rsid w:val="00E11D2B"/>
    <w:rsid w:val="00E122E7"/>
    <w:rsid w:val="00E12BB9"/>
    <w:rsid w:val="00E12BC7"/>
    <w:rsid w:val="00E12EB5"/>
    <w:rsid w:val="00E1339D"/>
    <w:rsid w:val="00E13D94"/>
    <w:rsid w:val="00E14174"/>
    <w:rsid w:val="00E142A7"/>
    <w:rsid w:val="00E14856"/>
    <w:rsid w:val="00E14BE1"/>
    <w:rsid w:val="00E14C21"/>
    <w:rsid w:val="00E14CF7"/>
    <w:rsid w:val="00E14EB6"/>
    <w:rsid w:val="00E14EFE"/>
    <w:rsid w:val="00E14F5F"/>
    <w:rsid w:val="00E15001"/>
    <w:rsid w:val="00E151E2"/>
    <w:rsid w:val="00E15C2E"/>
    <w:rsid w:val="00E15EC2"/>
    <w:rsid w:val="00E1681D"/>
    <w:rsid w:val="00E16D19"/>
    <w:rsid w:val="00E16DF3"/>
    <w:rsid w:val="00E179C1"/>
    <w:rsid w:val="00E17ED6"/>
    <w:rsid w:val="00E17F08"/>
    <w:rsid w:val="00E17FCC"/>
    <w:rsid w:val="00E200B5"/>
    <w:rsid w:val="00E20257"/>
    <w:rsid w:val="00E203CC"/>
    <w:rsid w:val="00E20402"/>
    <w:rsid w:val="00E2051C"/>
    <w:rsid w:val="00E20C77"/>
    <w:rsid w:val="00E20E08"/>
    <w:rsid w:val="00E21080"/>
    <w:rsid w:val="00E21882"/>
    <w:rsid w:val="00E21967"/>
    <w:rsid w:val="00E21D3F"/>
    <w:rsid w:val="00E21E72"/>
    <w:rsid w:val="00E22073"/>
    <w:rsid w:val="00E2207D"/>
    <w:rsid w:val="00E2298C"/>
    <w:rsid w:val="00E22AA6"/>
    <w:rsid w:val="00E22C83"/>
    <w:rsid w:val="00E23566"/>
    <w:rsid w:val="00E23F45"/>
    <w:rsid w:val="00E23FF4"/>
    <w:rsid w:val="00E2434A"/>
    <w:rsid w:val="00E244A3"/>
    <w:rsid w:val="00E24D09"/>
    <w:rsid w:val="00E24DE0"/>
    <w:rsid w:val="00E251EA"/>
    <w:rsid w:val="00E25AF4"/>
    <w:rsid w:val="00E25EDD"/>
    <w:rsid w:val="00E26284"/>
    <w:rsid w:val="00E26591"/>
    <w:rsid w:val="00E2677A"/>
    <w:rsid w:val="00E26C92"/>
    <w:rsid w:val="00E26CA3"/>
    <w:rsid w:val="00E26DAF"/>
    <w:rsid w:val="00E26E87"/>
    <w:rsid w:val="00E271AB"/>
    <w:rsid w:val="00E27449"/>
    <w:rsid w:val="00E274DD"/>
    <w:rsid w:val="00E27AB3"/>
    <w:rsid w:val="00E27E5A"/>
    <w:rsid w:val="00E27FBF"/>
    <w:rsid w:val="00E30188"/>
    <w:rsid w:val="00E30595"/>
    <w:rsid w:val="00E3078C"/>
    <w:rsid w:val="00E30A58"/>
    <w:rsid w:val="00E30E9B"/>
    <w:rsid w:val="00E3112E"/>
    <w:rsid w:val="00E315AA"/>
    <w:rsid w:val="00E318F5"/>
    <w:rsid w:val="00E31929"/>
    <w:rsid w:val="00E31949"/>
    <w:rsid w:val="00E31A41"/>
    <w:rsid w:val="00E31A5D"/>
    <w:rsid w:val="00E31C09"/>
    <w:rsid w:val="00E31CE2"/>
    <w:rsid w:val="00E31D1E"/>
    <w:rsid w:val="00E3217A"/>
    <w:rsid w:val="00E3226F"/>
    <w:rsid w:val="00E3253E"/>
    <w:rsid w:val="00E325DC"/>
    <w:rsid w:val="00E32A4F"/>
    <w:rsid w:val="00E331D8"/>
    <w:rsid w:val="00E335B4"/>
    <w:rsid w:val="00E34311"/>
    <w:rsid w:val="00E343BC"/>
    <w:rsid w:val="00E34641"/>
    <w:rsid w:val="00E3466A"/>
    <w:rsid w:val="00E34687"/>
    <w:rsid w:val="00E347AD"/>
    <w:rsid w:val="00E348A6"/>
    <w:rsid w:val="00E34A4E"/>
    <w:rsid w:val="00E34D56"/>
    <w:rsid w:val="00E35594"/>
    <w:rsid w:val="00E356B5"/>
    <w:rsid w:val="00E35D5A"/>
    <w:rsid w:val="00E35E3E"/>
    <w:rsid w:val="00E361F0"/>
    <w:rsid w:val="00E362A9"/>
    <w:rsid w:val="00E36745"/>
    <w:rsid w:val="00E36F66"/>
    <w:rsid w:val="00E36F70"/>
    <w:rsid w:val="00E37201"/>
    <w:rsid w:val="00E372B3"/>
    <w:rsid w:val="00E37FB3"/>
    <w:rsid w:val="00E40545"/>
    <w:rsid w:val="00E40993"/>
    <w:rsid w:val="00E40AAC"/>
    <w:rsid w:val="00E40CA4"/>
    <w:rsid w:val="00E40E31"/>
    <w:rsid w:val="00E412CA"/>
    <w:rsid w:val="00E415FA"/>
    <w:rsid w:val="00E4178A"/>
    <w:rsid w:val="00E41D4D"/>
    <w:rsid w:val="00E41EC4"/>
    <w:rsid w:val="00E41EE9"/>
    <w:rsid w:val="00E41F78"/>
    <w:rsid w:val="00E41FB4"/>
    <w:rsid w:val="00E421B3"/>
    <w:rsid w:val="00E424C3"/>
    <w:rsid w:val="00E4251B"/>
    <w:rsid w:val="00E42534"/>
    <w:rsid w:val="00E427A1"/>
    <w:rsid w:val="00E42C5B"/>
    <w:rsid w:val="00E42CC3"/>
    <w:rsid w:val="00E42F10"/>
    <w:rsid w:val="00E43128"/>
    <w:rsid w:val="00E43169"/>
    <w:rsid w:val="00E4322B"/>
    <w:rsid w:val="00E43765"/>
    <w:rsid w:val="00E43927"/>
    <w:rsid w:val="00E439E7"/>
    <w:rsid w:val="00E43CC5"/>
    <w:rsid w:val="00E43EBF"/>
    <w:rsid w:val="00E4445A"/>
    <w:rsid w:val="00E44A75"/>
    <w:rsid w:val="00E44BB7"/>
    <w:rsid w:val="00E4556A"/>
    <w:rsid w:val="00E45BBF"/>
    <w:rsid w:val="00E463A3"/>
    <w:rsid w:val="00E467AE"/>
    <w:rsid w:val="00E469B5"/>
    <w:rsid w:val="00E46FB1"/>
    <w:rsid w:val="00E50009"/>
    <w:rsid w:val="00E5009B"/>
    <w:rsid w:val="00E5027B"/>
    <w:rsid w:val="00E5073C"/>
    <w:rsid w:val="00E50949"/>
    <w:rsid w:val="00E50958"/>
    <w:rsid w:val="00E50C83"/>
    <w:rsid w:val="00E50CF9"/>
    <w:rsid w:val="00E517A7"/>
    <w:rsid w:val="00E51A0F"/>
    <w:rsid w:val="00E51C82"/>
    <w:rsid w:val="00E51F7A"/>
    <w:rsid w:val="00E52361"/>
    <w:rsid w:val="00E52816"/>
    <w:rsid w:val="00E529E1"/>
    <w:rsid w:val="00E52A5F"/>
    <w:rsid w:val="00E52C74"/>
    <w:rsid w:val="00E52CC5"/>
    <w:rsid w:val="00E52CCD"/>
    <w:rsid w:val="00E5319D"/>
    <w:rsid w:val="00E533CD"/>
    <w:rsid w:val="00E53725"/>
    <w:rsid w:val="00E53907"/>
    <w:rsid w:val="00E53961"/>
    <w:rsid w:val="00E53D08"/>
    <w:rsid w:val="00E54019"/>
    <w:rsid w:val="00E5438C"/>
    <w:rsid w:val="00E544F1"/>
    <w:rsid w:val="00E54993"/>
    <w:rsid w:val="00E54DE9"/>
    <w:rsid w:val="00E5528D"/>
    <w:rsid w:val="00E55492"/>
    <w:rsid w:val="00E55718"/>
    <w:rsid w:val="00E55ADD"/>
    <w:rsid w:val="00E563EB"/>
    <w:rsid w:val="00E564ED"/>
    <w:rsid w:val="00E564F7"/>
    <w:rsid w:val="00E565D6"/>
    <w:rsid w:val="00E5684C"/>
    <w:rsid w:val="00E56E2C"/>
    <w:rsid w:val="00E575EC"/>
    <w:rsid w:val="00E57672"/>
    <w:rsid w:val="00E577B4"/>
    <w:rsid w:val="00E6007F"/>
    <w:rsid w:val="00E60D54"/>
    <w:rsid w:val="00E61228"/>
    <w:rsid w:val="00E61256"/>
    <w:rsid w:val="00E617D9"/>
    <w:rsid w:val="00E6202E"/>
    <w:rsid w:val="00E62401"/>
    <w:rsid w:val="00E6243D"/>
    <w:rsid w:val="00E624F3"/>
    <w:rsid w:val="00E62F59"/>
    <w:rsid w:val="00E6324A"/>
    <w:rsid w:val="00E63414"/>
    <w:rsid w:val="00E6380D"/>
    <w:rsid w:val="00E638A7"/>
    <w:rsid w:val="00E638AC"/>
    <w:rsid w:val="00E63ABF"/>
    <w:rsid w:val="00E63EA3"/>
    <w:rsid w:val="00E63EA8"/>
    <w:rsid w:val="00E64500"/>
    <w:rsid w:val="00E645B1"/>
    <w:rsid w:val="00E645C7"/>
    <w:rsid w:val="00E6488B"/>
    <w:rsid w:val="00E64DBC"/>
    <w:rsid w:val="00E65161"/>
    <w:rsid w:val="00E651B8"/>
    <w:rsid w:val="00E652AC"/>
    <w:rsid w:val="00E65456"/>
    <w:rsid w:val="00E65546"/>
    <w:rsid w:val="00E65718"/>
    <w:rsid w:val="00E657B3"/>
    <w:rsid w:val="00E65ACC"/>
    <w:rsid w:val="00E65E6E"/>
    <w:rsid w:val="00E65F2E"/>
    <w:rsid w:val="00E65F6B"/>
    <w:rsid w:val="00E6608B"/>
    <w:rsid w:val="00E66204"/>
    <w:rsid w:val="00E66319"/>
    <w:rsid w:val="00E66483"/>
    <w:rsid w:val="00E668BB"/>
    <w:rsid w:val="00E66B9A"/>
    <w:rsid w:val="00E66FA5"/>
    <w:rsid w:val="00E67091"/>
    <w:rsid w:val="00E6715D"/>
    <w:rsid w:val="00E6743D"/>
    <w:rsid w:val="00E676D1"/>
    <w:rsid w:val="00E676D8"/>
    <w:rsid w:val="00E67CB7"/>
    <w:rsid w:val="00E67FC6"/>
    <w:rsid w:val="00E7015C"/>
    <w:rsid w:val="00E70EA4"/>
    <w:rsid w:val="00E71196"/>
    <w:rsid w:val="00E71377"/>
    <w:rsid w:val="00E71408"/>
    <w:rsid w:val="00E71422"/>
    <w:rsid w:val="00E71491"/>
    <w:rsid w:val="00E715CA"/>
    <w:rsid w:val="00E720A8"/>
    <w:rsid w:val="00E72184"/>
    <w:rsid w:val="00E7255D"/>
    <w:rsid w:val="00E725A9"/>
    <w:rsid w:val="00E72A7D"/>
    <w:rsid w:val="00E72C2B"/>
    <w:rsid w:val="00E7301C"/>
    <w:rsid w:val="00E7307A"/>
    <w:rsid w:val="00E73204"/>
    <w:rsid w:val="00E732A8"/>
    <w:rsid w:val="00E7338A"/>
    <w:rsid w:val="00E7370B"/>
    <w:rsid w:val="00E73BC7"/>
    <w:rsid w:val="00E73CDE"/>
    <w:rsid w:val="00E74258"/>
    <w:rsid w:val="00E742D7"/>
    <w:rsid w:val="00E7473A"/>
    <w:rsid w:val="00E749F5"/>
    <w:rsid w:val="00E75013"/>
    <w:rsid w:val="00E7502D"/>
    <w:rsid w:val="00E75389"/>
    <w:rsid w:val="00E7560D"/>
    <w:rsid w:val="00E75847"/>
    <w:rsid w:val="00E75D57"/>
    <w:rsid w:val="00E75F84"/>
    <w:rsid w:val="00E76155"/>
    <w:rsid w:val="00E765E0"/>
    <w:rsid w:val="00E76DB6"/>
    <w:rsid w:val="00E76E07"/>
    <w:rsid w:val="00E76E6C"/>
    <w:rsid w:val="00E76E7E"/>
    <w:rsid w:val="00E76F82"/>
    <w:rsid w:val="00E771C4"/>
    <w:rsid w:val="00E7747E"/>
    <w:rsid w:val="00E774A9"/>
    <w:rsid w:val="00E7760D"/>
    <w:rsid w:val="00E77632"/>
    <w:rsid w:val="00E777B1"/>
    <w:rsid w:val="00E77F23"/>
    <w:rsid w:val="00E80630"/>
    <w:rsid w:val="00E80680"/>
    <w:rsid w:val="00E80C1E"/>
    <w:rsid w:val="00E80DD4"/>
    <w:rsid w:val="00E80EC4"/>
    <w:rsid w:val="00E81010"/>
    <w:rsid w:val="00E818FF"/>
    <w:rsid w:val="00E81B1E"/>
    <w:rsid w:val="00E81F1B"/>
    <w:rsid w:val="00E82224"/>
    <w:rsid w:val="00E82265"/>
    <w:rsid w:val="00E82A5A"/>
    <w:rsid w:val="00E83116"/>
    <w:rsid w:val="00E83297"/>
    <w:rsid w:val="00E83598"/>
    <w:rsid w:val="00E83AB2"/>
    <w:rsid w:val="00E84056"/>
    <w:rsid w:val="00E84352"/>
    <w:rsid w:val="00E843FB"/>
    <w:rsid w:val="00E846AF"/>
    <w:rsid w:val="00E84C37"/>
    <w:rsid w:val="00E84D1B"/>
    <w:rsid w:val="00E84E7F"/>
    <w:rsid w:val="00E84F29"/>
    <w:rsid w:val="00E85BD0"/>
    <w:rsid w:val="00E86068"/>
    <w:rsid w:val="00E8611D"/>
    <w:rsid w:val="00E861E4"/>
    <w:rsid w:val="00E86624"/>
    <w:rsid w:val="00E86FF5"/>
    <w:rsid w:val="00E87295"/>
    <w:rsid w:val="00E8732F"/>
    <w:rsid w:val="00E873FA"/>
    <w:rsid w:val="00E875CB"/>
    <w:rsid w:val="00E877E5"/>
    <w:rsid w:val="00E8783C"/>
    <w:rsid w:val="00E87F1B"/>
    <w:rsid w:val="00E87F97"/>
    <w:rsid w:val="00E90197"/>
    <w:rsid w:val="00E90303"/>
    <w:rsid w:val="00E90534"/>
    <w:rsid w:val="00E9064A"/>
    <w:rsid w:val="00E90738"/>
    <w:rsid w:val="00E90A75"/>
    <w:rsid w:val="00E90B82"/>
    <w:rsid w:val="00E90B89"/>
    <w:rsid w:val="00E90CB0"/>
    <w:rsid w:val="00E90F34"/>
    <w:rsid w:val="00E91429"/>
    <w:rsid w:val="00E9166B"/>
    <w:rsid w:val="00E9180E"/>
    <w:rsid w:val="00E920CF"/>
    <w:rsid w:val="00E920FC"/>
    <w:rsid w:val="00E92508"/>
    <w:rsid w:val="00E9264F"/>
    <w:rsid w:val="00E928A6"/>
    <w:rsid w:val="00E92C5D"/>
    <w:rsid w:val="00E92E0A"/>
    <w:rsid w:val="00E9319C"/>
    <w:rsid w:val="00E93841"/>
    <w:rsid w:val="00E93870"/>
    <w:rsid w:val="00E938F6"/>
    <w:rsid w:val="00E93C19"/>
    <w:rsid w:val="00E94EEE"/>
    <w:rsid w:val="00E95041"/>
    <w:rsid w:val="00E952A6"/>
    <w:rsid w:val="00E9605A"/>
    <w:rsid w:val="00E9608A"/>
    <w:rsid w:val="00E96559"/>
    <w:rsid w:val="00E965E3"/>
    <w:rsid w:val="00E9664C"/>
    <w:rsid w:val="00E96BB4"/>
    <w:rsid w:val="00E96E3C"/>
    <w:rsid w:val="00E96FEA"/>
    <w:rsid w:val="00E97008"/>
    <w:rsid w:val="00E975AD"/>
    <w:rsid w:val="00E9785F"/>
    <w:rsid w:val="00E9792A"/>
    <w:rsid w:val="00E97B7B"/>
    <w:rsid w:val="00E97E83"/>
    <w:rsid w:val="00EA1165"/>
    <w:rsid w:val="00EA1295"/>
    <w:rsid w:val="00EA1450"/>
    <w:rsid w:val="00EA167A"/>
    <w:rsid w:val="00EA16C3"/>
    <w:rsid w:val="00EA17A6"/>
    <w:rsid w:val="00EA1880"/>
    <w:rsid w:val="00EA1AD1"/>
    <w:rsid w:val="00EA1B11"/>
    <w:rsid w:val="00EA1C25"/>
    <w:rsid w:val="00EA2353"/>
    <w:rsid w:val="00EA25ED"/>
    <w:rsid w:val="00EA29D4"/>
    <w:rsid w:val="00EA2B74"/>
    <w:rsid w:val="00EA3017"/>
    <w:rsid w:val="00EA32B6"/>
    <w:rsid w:val="00EA35FA"/>
    <w:rsid w:val="00EA3CB8"/>
    <w:rsid w:val="00EA3D3E"/>
    <w:rsid w:val="00EA3F94"/>
    <w:rsid w:val="00EA4368"/>
    <w:rsid w:val="00EA44AA"/>
    <w:rsid w:val="00EA4F46"/>
    <w:rsid w:val="00EA4F54"/>
    <w:rsid w:val="00EA4FE6"/>
    <w:rsid w:val="00EA5220"/>
    <w:rsid w:val="00EA5228"/>
    <w:rsid w:val="00EA5240"/>
    <w:rsid w:val="00EA52FD"/>
    <w:rsid w:val="00EA55C3"/>
    <w:rsid w:val="00EA5C27"/>
    <w:rsid w:val="00EA6065"/>
    <w:rsid w:val="00EA61B0"/>
    <w:rsid w:val="00EA62F0"/>
    <w:rsid w:val="00EA6679"/>
    <w:rsid w:val="00EA698D"/>
    <w:rsid w:val="00EA69AA"/>
    <w:rsid w:val="00EA6F5C"/>
    <w:rsid w:val="00EA7092"/>
    <w:rsid w:val="00EA76E9"/>
    <w:rsid w:val="00EA7DDE"/>
    <w:rsid w:val="00EA7E48"/>
    <w:rsid w:val="00EB013E"/>
    <w:rsid w:val="00EB0459"/>
    <w:rsid w:val="00EB1095"/>
    <w:rsid w:val="00EB119A"/>
    <w:rsid w:val="00EB17CE"/>
    <w:rsid w:val="00EB23CC"/>
    <w:rsid w:val="00EB2604"/>
    <w:rsid w:val="00EB294E"/>
    <w:rsid w:val="00EB30FC"/>
    <w:rsid w:val="00EB3227"/>
    <w:rsid w:val="00EB358E"/>
    <w:rsid w:val="00EB3D86"/>
    <w:rsid w:val="00EB42B2"/>
    <w:rsid w:val="00EB43B8"/>
    <w:rsid w:val="00EB4485"/>
    <w:rsid w:val="00EB4626"/>
    <w:rsid w:val="00EB4AE2"/>
    <w:rsid w:val="00EB4B96"/>
    <w:rsid w:val="00EB4F21"/>
    <w:rsid w:val="00EB525C"/>
    <w:rsid w:val="00EB529F"/>
    <w:rsid w:val="00EB53E8"/>
    <w:rsid w:val="00EB5C55"/>
    <w:rsid w:val="00EB5FB0"/>
    <w:rsid w:val="00EB6074"/>
    <w:rsid w:val="00EB609E"/>
    <w:rsid w:val="00EB6276"/>
    <w:rsid w:val="00EB633B"/>
    <w:rsid w:val="00EB644E"/>
    <w:rsid w:val="00EB6CCA"/>
    <w:rsid w:val="00EB6E02"/>
    <w:rsid w:val="00EB7347"/>
    <w:rsid w:val="00EB73FD"/>
    <w:rsid w:val="00EB7421"/>
    <w:rsid w:val="00EB7623"/>
    <w:rsid w:val="00EB79A2"/>
    <w:rsid w:val="00EB7A3A"/>
    <w:rsid w:val="00EB7EE9"/>
    <w:rsid w:val="00EC01B3"/>
    <w:rsid w:val="00EC080A"/>
    <w:rsid w:val="00EC08EB"/>
    <w:rsid w:val="00EC09B3"/>
    <w:rsid w:val="00EC0CD1"/>
    <w:rsid w:val="00EC0E01"/>
    <w:rsid w:val="00EC0FDF"/>
    <w:rsid w:val="00EC1279"/>
    <w:rsid w:val="00EC15AC"/>
    <w:rsid w:val="00EC1880"/>
    <w:rsid w:val="00EC1A17"/>
    <w:rsid w:val="00EC1F1A"/>
    <w:rsid w:val="00EC247D"/>
    <w:rsid w:val="00EC29D2"/>
    <w:rsid w:val="00EC2DF2"/>
    <w:rsid w:val="00EC2E27"/>
    <w:rsid w:val="00EC2F96"/>
    <w:rsid w:val="00EC3643"/>
    <w:rsid w:val="00EC36ED"/>
    <w:rsid w:val="00EC3922"/>
    <w:rsid w:val="00EC406E"/>
    <w:rsid w:val="00EC46E1"/>
    <w:rsid w:val="00EC49AD"/>
    <w:rsid w:val="00EC4D71"/>
    <w:rsid w:val="00EC4E41"/>
    <w:rsid w:val="00EC4FEE"/>
    <w:rsid w:val="00EC51B0"/>
    <w:rsid w:val="00EC57E3"/>
    <w:rsid w:val="00EC6487"/>
    <w:rsid w:val="00EC6DD1"/>
    <w:rsid w:val="00EC7099"/>
    <w:rsid w:val="00EC70FD"/>
    <w:rsid w:val="00EC7436"/>
    <w:rsid w:val="00EC7600"/>
    <w:rsid w:val="00EC7AA4"/>
    <w:rsid w:val="00EC7B6C"/>
    <w:rsid w:val="00EC7C60"/>
    <w:rsid w:val="00EC7DD6"/>
    <w:rsid w:val="00ED0F46"/>
    <w:rsid w:val="00ED0F5A"/>
    <w:rsid w:val="00ED1092"/>
    <w:rsid w:val="00ED112E"/>
    <w:rsid w:val="00ED13A6"/>
    <w:rsid w:val="00ED14E9"/>
    <w:rsid w:val="00ED1540"/>
    <w:rsid w:val="00ED1971"/>
    <w:rsid w:val="00ED1B48"/>
    <w:rsid w:val="00ED1F9A"/>
    <w:rsid w:val="00ED2028"/>
    <w:rsid w:val="00ED2379"/>
    <w:rsid w:val="00ED2788"/>
    <w:rsid w:val="00ED2938"/>
    <w:rsid w:val="00ED2B44"/>
    <w:rsid w:val="00ED2BC7"/>
    <w:rsid w:val="00ED2CD9"/>
    <w:rsid w:val="00ED2FE8"/>
    <w:rsid w:val="00ED3092"/>
    <w:rsid w:val="00ED36F6"/>
    <w:rsid w:val="00ED3755"/>
    <w:rsid w:val="00ED3917"/>
    <w:rsid w:val="00ED39AA"/>
    <w:rsid w:val="00ED3ACE"/>
    <w:rsid w:val="00ED3E8D"/>
    <w:rsid w:val="00ED3EFC"/>
    <w:rsid w:val="00ED4436"/>
    <w:rsid w:val="00ED445D"/>
    <w:rsid w:val="00ED4915"/>
    <w:rsid w:val="00ED4AA4"/>
    <w:rsid w:val="00ED4DA6"/>
    <w:rsid w:val="00ED4E1D"/>
    <w:rsid w:val="00ED4E90"/>
    <w:rsid w:val="00ED4F4C"/>
    <w:rsid w:val="00ED5095"/>
    <w:rsid w:val="00ED5464"/>
    <w:rsid w:val="00ED58AA"/>
    <w:rsid w:val="00ED596D"/>
    <w:rsid w:val="00ED5D78"/>
    <w:rsid w:val="00ED67F9"/>
    <w:rsid w:val="00ED7060"/>
    <w:rsid w:val="00ED74C0"/>
    <w:rsid w:val="00ED772A"/>
    <w:rsid w:val="00ED78E8"/>
    <w:rsid w:val="00ED7A0F"/>
    <w:rsid w:val="00ED7A75"/>
    <w:rsid w:val="00EE009A"/>
    <w:rsid w:val="00EE04A4"/>
    <w:rsid w:val="00EE0697"/>
    <w:rsid w:val="00EE09D3"/>
    <w:rsid w:val="00EE19E6"/>
    <w:rsid w:val="00EE1CC3"/>
    <w:rsid w:val="00EE245B"/>
    <w:rsid w:val="00EE268F"/>
    <w:rsid w:val="00EE297D"/>
    <w:rsid w:val="00EE2B25"/>
    <w:rsid w:val="00EE2DCE"/>
    <w:rsid w:val="00EE2E1D"/>
    <w:rsid w:val="00EE300E"/>
    <w:rsid w:val="00EE3032"/>
    <w:rsid w:val="00EE35C7"/>
    <w:rsid w:val="00EE3A3D"/>
    <w:rsid w:val="00EE3DD9"/>
    <w:rsid w:val="00EE3F4B"/>
    <w:rsid w:val="00EE40FF"/>
    <w:rsid w:val="00EE42D6"/>
    <w:rsid w:val="00EE43F5"/>
    <w:rsid w:val="00EE448D"/>
    <w:rsid w:val="00EE48D3"/>
    <w:rsid w:val="00EE4B84"/>
    <w:rsid w:val="00EE4EE6"/>
    <w:rsid w:val="00EE510F"/>
    <w:rsid w:val="00EE52B9"/>
    <w:rsid w:val="00EE5300"/>
    <w:rsid w:val="00EE5AC4"/>
    <w:rsid w:val="00EE5EF3"/>
    <w:rsid w:val="00EE622C"/>
    <w:rsid w:val="00EE654E"/>
    <w:rsid w:val="00EE69FB"/>
    <w:rsid w:val="00EE6BC2"/>
    <w:rsid w:val="00EE73A8"/>
    <w:rsid w:val="00EE7A15"/>
    <w:rsid w:val="00EF05C8"/>
    <w:rsid w:val="00EF0BC4"/>
    <w:rsid w:val="00EF0E19"/>
    <w:rsid w:val="00EF1A7A"/>
    <w:rsid w:val="00EF21B7"/>
    <w:rsid w:val="00EF27E8"/>
    <w:rsid w:val="00EF2A62"/>
    <w:rsid w:val="00EF2B17"/>
    <w:rsid w:val="00EF2D8C"/>
    <w:rsid w:val="00EF36DA"/>
    <w:rsid w:val="00EF3A23"/>
    <w:rsid w:val="00EF4641"/>
    <w:rsid w:val="00EF47A7"/>
    <w:rsid w:val="00EF4878"/>
    <w:rsid w:val="00EF4C3A"/>
    <w:rsid w:val="00EF587B"/>
    <w:rsid w:val="00EF62DF"/>
    <w:rsid w:val="00EF66CC"/>
    <w:rsid w:val="00EF6754"/>
    <w:rsid w:val="00EF6DCF"/>
    <w:rsid w:val="00EF70A5"/>
    <w:rsid w:val="00EF741C"/>
    <w:rsid w:val="00EF74E1"/>
    <w:rsid w:val="00EF77C7"/>
    <w:rsid w:val="00EF7A12"/>
    <w:rsid w:val="00EF7A3F"/>
    <w:rsid w:val="00EF7D05"/>
    <w:rsid w:val="00EF7DAC"/>
    <w:rsid w:val="00F00279"/>
    <w:rsid w:val="00F00284"/>
    <w:rsid w:val="00F00470"/>
    <w:rsid w:val="00F006B9"/>
    <w:rsid w:val="00F006C2"/>
    <w:rsid w:val="00F0075E"/>
    <w:rsid w:val="00F00893"/>
    <w:rsid w:val="00F00984"/>
    <w:rsid w:val="00F00DC9"/>
    <w:rsid w:val="00F00E77"/>
    <w:rsid w:val="00F01449"/>
    <w:rsid w:val="00F0147B"/>
    <w:rsid w:val="00F018BB"/>
    <w:rsid w:val="00F01A25"/>
    <w:rsid w:val="00F01B99"/>
    <w:rsid w:val="00F01D5D"/>
    <w:rsid w:val="00F0210C"/>
    <w:rsid w:val="00F02179"/>
    <w:rsid w:val="00F02583"/>
    <w:rsid w:val="00F029F3"/>
    <w:rsid w:val="00F02FEB"/>
    <w:rsid w:val="00F03113"/>
    <w:rsid w:val="00F03234"/>
    <w:rsid w:val="00F0357E"/>
    <w:rsid w:val="00F036FC"/>
    <w:rsid w:val="00F038D9"/>
    <w:rsid w:val="00F03FAB"/>
    <w:rsid w:val="00F0411E"/>
    <w:rsid w:val="00F044C7"/>
    <w:rsid w:val="00F04B3D"/>
    <w:rsid w:val="00F05450"/>
    <w:rsid w:val="00F0562C"/>
    <w:rsid w:val="00F05916"/>
    <w:rsid w:val="00F05975"/>
    <w:rsid w:val="00F05B26"/>
    <w:rsid w:val="00F05B3D"/>
    <w:rsid w:val="00F05FEC"/>
    <w:rsid w:val="00F06351"/>
    <w:rsid w:val="00F067D1"/>
    <w:rsid w:val="00F07004"/>
    <w:rsid w:val="00F072E3"/>
    <w:rsid w:val="00F0759F"/>
    <w:rsid w:val="00F079E9"/>
    <w:rsid w:val="00F07CE9"/>
    <w:rsid w:val="00F07E23"/>
    <w:rsid w:val="00F1037D"/>
    <w:rsid w:val="00F104EB"/>
    <w:rsid w:val="00F104FC"/>
    <w:rsid w:val="00F10526"/>
    <w:rsid w:val="00F10587"/>
    <w:rsid w:val="00F107C8"/>
    <w:rsid w:val="00F107DC"/>
    <w:rsid w:val="00F10866"/>
    <w:rsid w:val="00F10CB1"/>
    <w:rsid w:val="00F10D24"/>
    <w:rsid w:val="00F10F35"/>
    <w:rsid w:val="00F11059"/>
    <w:rsid w:val="00F113DD"/>
    <w:rsid w:val="00F115F5"/>
    <w:rsid w:val="00F118A4"/>
    <w:rsid w:val="00F11F34"/>
    <w:rsid w:val="00F12025"/>
    <w:rsid w:val="00F1229B"/>
    <w:rsid w:val="00F124A3"/>
    <w:rsid w:val="00F1259A"/>
    <w:rsid w:val="00F12762"/>
    <w:rsid w:val="00F1292E"/>
    <w:rsid w:val="00F12B6A"/>
    <w:rsid w:val="00F12F18"/>
    <w:rsid w:val="00F13578"/>
    <w:rsid w:val="00F1364A"/>
    <w:rsid w:val="00F13B6C"/>
    <w:rsid w:val="00F13C08"/>
    <w:rsid w:val="00F13DFE"/>
    <w:rsid w:val="00F14CEB"/>
    <w:rsid w:val="00F151DA"/>
    <w:rsid w:val="00F153DA"/>
    <w:rsid w:val="00F1563A"/>
    <w:rsid w:val="00F15793"/>
    <w:rsid w:val="00F15C74"/>
    <w:rsid w:val="00F160A8"/>
    <w:rsid w:val="00F16A56"/>
    <w:rsid w:val="00F16B50"/>
    <w:rsid w:val="00F16D0F"/>
    <w:rsid w:val="00F16E4E"/>
    <w:rsid w:val="00F16F36"/>
    <w:rsid w:val="00F172D7"/>
    <w:rsid w:val="00F17566"/>
    <w:rsid w:val="00F17743"/>
    <w:rsid w:val="00F1784A"/>
    <w:rsid w:val="00F178E9"/>
    <w:rsid w:val="00F17D6E"/>
    <w:rsid w:val="00F17E41"/>
    <w:rsid w:val="00F200E6"/>
    <w:rsid w:val="00F202EA"/>
    <w:rsid w:val="00F20438"/>
    <w:rsid w:val="00F20FC3"/>
    <w:rsid w:val="00F21509"/>
    <w:rsid w:val="00F215C5"/>
    <w:rsid w:val="00F21701"/>
    <w:rsid w:val="00F2197C"/>
    <w:rsid w:val="00F21980"/>
    <w:rsid w:val="00F21B8C"/>
    <w:rsid w:val="00F21BC8"/>
    <w:rsid w:val="00F21BD1"/>
    <w:rsid w:val="00F21CEB"/>
    <w:rsid w:val="00F21FBB"/>
    <w:rsid w:val="00F222BD"/>
    <w:rsid w:val="00F22D81"/>
    <w:rsid w:val="00F2326B"/>
    <w:rsid w:val="00F234BC"/>
    <w:rsid w:val="00F23512"/>
    <w:rsid w:val="00F2367B"/>
    <w:rsid w:val="00F237B5"/>
    <w:rsid w:val="00F239C2"/>
    <w:rsid w:val="00F23B7C"/>
    <w:rsid w:val="00F23C42"/>
    <w:rsid w:val="00F24230"/>
    <w:rsid w:val="00F24731"/>
    <w:rsid w:val="00F2525D"/>
    <w:rsid w:val="00F25814"/>
    <w:rsid w:val="00F26194"/>
    <w:rsid w:val="00F261D6"/>
    <w:rsid w:val="00F26299"/>
    <w:rsid w:val="00F26690"/>
    <w:rsid w:val="00F269BB"/>
    <w:rsid w:val="00F27766"/>
    <w:rsid w:val="00F27786"/>
    <w:rsid w:val="00F27884"/>
    <w:rsid w:val="00F3055F"/>
    <w:rsid w:val="00F305D9"/>
    <w:rsid w:val="00F3075F"/>
    <w:rsid w:val="00F30929"/>
    <w:rsid w:val="00F3093E"/>
    <w:rsid w:val="00F30A10"/>
    <w:rsid w:val="00F3123F"/>
    <w:rsid w:val="00F314B3"/>
    <w:rsid w:val="00F3156C"/>
    <w:rsid w:val="00F3188C"/>
    <w:rsid w:val="00F31998"/>
    <w:rsid w:val="00F31A98"/>
    <w:rsid w:val="00F31C9C"/>
    <w:rsid w:val="00F31FD2"/>
    <w:rsid w:val="00F3225F"/>
    <w:rsid w:val="00F32396"/>
    <w:rsid w:val="00F32916"/>
    <w:rsid w:val="00F32C79"/>
    <w:rsid w:val="00F32C97"/>
    <w:rsid w:val="00F32CDB"/>
    <w:rsid w:val="00F3301A"/>
    <w:rsid w:val="00F33088"/>
    <w:rsid w:val="00F33195"/>
    <w:rsid w:val="00F332C7"/>
    <w:rsid w:val="00F3359A"/>
    <w:rsid w:val="00F3373A"/>
    <w:rsid w:val="00F33D1B"/>
    <w:rsid w:val="00F33E21"/>
    <w:rsid w:val="00F3445E"/>
    <w:rsid w:val="00F344CE"/>
    <w:rsid w:val="00F3473E"/>
    <w:rsid w:val="00F34EC4"/>
    <w:rsid w:val="00F34EE1"/>
    <w:rsid w:val="00F352A6"/>
    <w:rsid w:val="00F355EC"/>
    <w:rsid w:val="00F35967"/>
    <w:rsid w:val="00F35C68"/>
    <w:rsid w:val="00F35D9A"/>
    <w:rsid w:val="00F362FC"/>
    <w:rsid w:val="00F363C5"/>
    <w:rsid w:val="00F365B5"/>
    <w:rsid w:val="00F36B1F"/>
    <w:rsid w:val="00F36FFB"/>
    <w:rsid w:val="00F37150"/>
    <w:rsid w:val="00F372CF"/>
    <w:rsid w:val="00F374A0"/>
    <w:rsid w:val="00F378A8"/>
    <w:rsid w:val="00F37C98"/>
    <w:rsid w:val="00F37FC8"/>
    <w:rsid w:val="00F4035D"/>
    <w:rsid w:val="00F403D0"/>
    <w:rsid w:val="00F4065D"/>
    <w:rsid w:val="00F416CB"/>
    <w:rsid w:val="00F41893"/>
    <w:rsid w:val="00F41ADC"/>
    <w:rsid w:val="00F41C55"/>
    <w:rsid w:val="00F41DD9"/>
    <w:rsid w:val="00F42714"/>
    <w:rsid w:val="00F429BF"/>
    <w:rsid w:val="00F42CCD"/>
    <w:rsid w:val="00F42E4E"/>
    <w:rsid w:val="00F43021"/>
    <w:rsid w:val="00F43A51"/>
    <w:rsid w:val="00F43B69"/>
    <w:rsid w:val="00F4402E"/>
    <w:rsid w:val="00F44046"/>
    <w:rsid w:val="00F442DF"/>
    <w:rsid w:val="00F44405"/>
    <w:rsid w:val="00F44752"/>
    <w:rsid w:val="00F447DF"/>
    <w:rsid w:val="00F44898"/>
    <w:rsid w:val="00F449FF"/>
    <w:rsid w:val="00F44DCA"/>
    <w:rsid w:val="00F44E67"/>
    <w:rsid w:val="00F45179"/>
    <w:rsid w:val="00F45478"/>
    <w:rsid w:val="00F4549A"/>
    <w:rsid w:val="00F4574D"/>
    <w:rsid w:val="00F46078"/>
    <w:rsid w:val="00F46895"/>
    <w:rsid w:val="00F46925"/>
    <w:rsid w:val="00F46FDA"/>
    <w:rsid w:val="00F46FED"/>
    <w:rsid w:val="00F476EA"/>
    <w:rsid w:val="00F47ADD"/>
    <w:rsid w:val="00F47ED6"/>
    <w:rsid w:val="00F50059"/>
    <w:rsid w:val="00F50117"/>
    <w:rsid w:val="00F50CAD"/>
    <w:rsid w:val="00F51130"/>
    <w:rsid w:val="00F51488"/>
    <w:rsid w:val="00F516D9"/>
    <w:rsid w:val="00F51CE9"/>
    <w:rsid w:val="00F52361"/>
    <w:rsid w:val="00F52528"/>
    <w:rsid w:val="00F52C28"/>
    <w:rsid w:val="00F531E8"/>
    <w:rsid w:val="00F53353"/>
    <w:rsid w:val="00F53929"/>
    <w:rsid w:val="00F5392D"/>
    <w:rsid w:val="00F53CC1"/>
    <w:rsid w:val="00F53E3E"/>
    <w:rsid w:val="00F542C6"/>
    <w:rsid w:val="00F5457B"/>
    <w:rsid w:val="00F5489F"/>
    <w:rsid w:val="00F54F9D"/>
    <w:rsid w:val="00F554B0"/>
    <w:rsid w:val="00F55648"/>
    <w:rsid w:val="00F55836"/>
    <w:rsid w:val="00F559EF"/>
    <w:rsid w:val="00F55AF0"/>
    <w:rsid w:val="00F55E1A"/>
    <w:rsid w:val="00F566E4"/>
    <w:rsid w:val="00F5671C"/>
    <w:rsid w:val="00F56CB1"/>
    <w:rsid w:val="00F56CB6"/>
    <w:rsid w:val="00F572B4"/>
    <w:rsid w:val="00F57635"/>
    <w:rsid w:val="00F577EE"/>
    <w:rsid w:val="00F579F3"/>
    <w:rsid w:val="00F579F8"/>
    <w:rsid w:val="00F57E1B"/>
    <w:rsid w:val="00F57E78"/>
    <w:rsid w:val="00F60034"/>
    <w:rsid w:val="00F600B1"/>
    <w:rsid w:val="00F60265"/>
    <w:rsid w:val="00F6064D"/>
    <w:rsid w:val="00F609A7"/>
    <w:rsid w:val="00F60B7E"/>
    <w:rsid w:val="00F60EA1"/>
    <w:rsid w:val="00F6113D"/>
    <w:rsid w:val="00F611F4"/>
    <w:rsid w:val="00F61D22"/>
    <w:rsid w:val="00F62037"/>
    <w:rsid w:val="00F62205"/>
    <w:rsid w:val="00F62C4A"/>
    <w:rsid w:val="00F62F24"/>
    <w:rsid w:val="00F632C4"/>
    <w:rsid w:val="00F637A5"/>
    <w:rsid w:val="00F639B9"/>
    <w:rsid w:val="00F63ADE"/>
    <w:rsid w:val="00F63BFF"/>
    <w:rsid w:val="00F640F7"/>
    <w:rsid w:val="00F642A9"/>
    <w:rsid w:val="00F64680"/>
    <w:rsid w:val="00F64825"/>
    <w:rsid w:val="00F64A0D"/>
    <w:rsid w:val="00F64B22"/>
    <w:rsid w:val="00F6579E"/>
    <w:rsid w:val="00F65A63"/>
    <w:rsid w:val="00F65F91"/>
    <w:rsid w:val="00F66771"/>
    <w:rsid w:val="00F66A3D"/>
    <w:rsid w:val="00F67391"/>
    <w:rsid w:val="00F674F2"/>
    <w:rsid w:val="00F67C17"/>
    <w:rsid w:val="00F707FC"/>
    <w:rsid w:val="00F70AA2"/>
    <w:rsid w:val="00F70EB2"/>
    <w:rsid w:val="00F71206"/>
    <w:rsid w:val="00F713CE"/>
    <w:rsid w:val="00F714B9"/>
    <w:rsid w:val="00F719D4"/>
    <w:rsid w:val="00F71B4F"/>
    <w:rsid w:val="00F7215F"/>
    <w:rsid w:val="00F72609"/>
    <w:rsid w:val="00F72632"/>
    <w:rsid w:val="00F72931"/>
    <w:rsid w:val="00F72A12"/>
    <w:rsid w:val="00F72DAD"/>
    <w:rsid w:val="00F72EC9"/>
    <w:rsid w:val="00F733AD"/>
    <w:rsid w:val="00F734BB"/>
    <w:rsid w:val="00F736A1"/>
    <w:rsid w:val="00F73792"/>
    <w:rsid w:val="00F73915"/>
    <w:rsid w:val="00F73F54"/>
    <w:rsid w:val="00F74C18"/>
    <w:rsid w:val="00F74CB6"/>
    <w:rsid w:val="00F75008"/>
    <w:rsid w:val="00F75A5A"/>
    <w:rsid w:val="00F75B32"/>
    <w:rsid w:val="00F75B7B"/>
    <w:rsid w:val="00F75CB7"/>
    <w:rsid w:val="00F75DFE"/>
    <w:rsid w:val="00F76262"/>
    <w:rsid w:val="00F76CF8"/>
    <w:rsid w:val="00F76D40"/>
    <w:rsid w:val="00F76F5B"/>
    <w:rsid w:val="00F774A6"/>
    <w:rsid w:val="00F776CE"/>
    <w:rsid w:val="00F77DC7"/>
    <w:rsid w:val="00F800D7"/>
    <w:rsid w:val="00F8042F"/>
    <w:rsid w:val="00F808EE"/>
    <w:rsid w:val="00F80998"/>
    <w:rsid w:val="00F80C82"/>
    <w:rsid w:val="00F80F52"/>
    <w:rsid w:val="00F80F7B"/>
    <w:rsid w:val="00F8102E"/>
    <w:rsid w:val="00F81130"/>
    <w:rsid w:val="00F81760"/>
    <w:rsid w:val="00F81A8F"/>
    <w:rsid w:val="00F81BB9"/>
    <w:rsid w:val="00F81CFA"/>
    <w:rsid w:val="00F81D51"/>
    <w:rsid w:val="00F81DAD"/>
    <w:rsid w:val="00F81E01"/>
    <w:rsid w:val="00F81F76"/>
    <w:rsid w:val="00F82811"/>
    <w:rsid w:val="00F82B3C"/>
    <w:rsid w:val="00F831E6"/>
    <w:rsid w:val="00F83400"/>
    <w:rsid w:val="00F83843"/>
    <w:rsid w:val="00F83FB2"/>
    <w:rsid w:val="00F841B6"/>
    <w:rsid w:val="00F841E3"/>
    <w:rsid w:val="00F84317"/>
    <w:rsid w:val="00F84349"/>
    <w:rsid w:val="00F846C5"/>
    <w:rsid w:val="00F84893"/>
    <w:rsid w:val="00F84ABB"/>
    <w:rsid w:val="00F85015"/>
    <w:rsid w:val="00F85670"/>
    <w:rsid w:val="00F856C0"/>
    <w:rsid w:val="00F85E42"/>
    <w:rsid w:val="00F863AD"/>
    <w:rsid w:val="00F866CF"/>
    <w:rsid w:val="00F86987"/>
    <w:rsid w:val="00F86B29"/>
    <w:rsid w:val="00F86D90"/>
    <w:rsid w:val="00F871D7"/>
    <w:rsid w:val="00F874AF"/>
    <w:rsid w:val="00F8761B"/>
    <w:rsid w:val="00F878E5"/>
    <w:rsid w:val="00F87B3E"/>
    <w:rsid w:val="00F87B91"/>
    <w:rsid w:val="00F87D48"/>
    <w:rsid w:val="00F87EE1"/>
    <w:rsid w:val="00F87F92"/>
    <w:rsid w:val="00F9008A"/>
    <w:rsid w:val="00F9027F"/>
    <w:rsid w:val="00F90516"/>
    <w:rsid w:val="00F909BE"/>
    <w:rsid w:val="00F90C1C"/>
    <w:rsid w:val="00F90F39"/>
    <w:rsid w:val="00F9102C"/>
    <w:rsid w:val="00F91447"/>
    <w:rsid w:val="00F91B3B"/>
    <w:rsid w:val="00F91B9B"/>
    <w:rsid w:val="00F91EC1"/>
    <w:rsid w:val="00F9254B"/>
    <w:rsid w:val="00F92821"/>
    <w:rsid w:val="00F92C38"/>
    <w:rsid w:val="00F92F75"/>
    <w:rsid w:val="00F939B6"/>
    <w:rsid w:val="00F940A4"/>
    <w:rsid w:val="00F94228"/>
    <w:rsid w:val="00F943D3"/>
    <w:rsid w:val="00F946E2"/>
    <w:rsid w:val="00F94711"/>
    <w:rsid w:val="00F947D8"/>
    <w:rsid w:val="00F94882"/>
    <w:rsid w:val="00F948DB"/>
    <w:rsid w:val="00F94901"/>
    <w:rsid w:val="00F94AFC"/>
    <w:rsid w:val="00F95055"/>
    <w:rsid w:val="00F950E9"/>
    <w:rsid w:val="00F95216"/>
    <w:rsid w:val="00F95291"/>
    <w:rsid w:val="00F95BAE"/>
    <w:rsid w:val="00F961AA"/>
    <w:rsid w:val="00F961E7"/>
    <w:rsid w:val="00F969B3"/>
    <w:rsid w:val="00F96F1D"/>
    <w:rsid w:val="00F96F28"/>
    <w:rsid w:val="00F970BA"/>
    <w:rsid w:val="00F9729A"/>
    <w:rsid w:val="00F9779F"/>
    <w:rsid w:val="00F97FAC"/>
    <w:rsid w:val="00FA003F"/>
    <w:rsid w:val="00FA0134"/>
    <w:rsid w:val="00FA01DE"/>
    <w:rsid w:val="00FA0236"/>
    <w:rsid w:val="00FA043D"/>
    <w:rsid w:val="00FA0F01"/>
    <w:rsid w:val="00FA1FC1"/>
    <w:rsid w:val="00FA234D"/>
    <w:rsid w:val="00FA2710"/>
    <w:rsid w:val="00FA2D06"/>
    <w:rsid w:val="00FA3059"/>
    <w:rsid w:val="00FA36A1"/>
    <w:rsid w:val="00FA380F"/>
    <w:rsid w:val="00FA3933"/>
    <w:rsid w:val="00FA3B7D"/>
    <w:rsid w:val="00FA3E1A"/>
    <w:rsid w:val="00FA407E"/>
    <w:rsid w:val="00FA40AD"/>
    <w:rsid w:val="00FA416B"/>
    <w:rsid w:val="00FA433F"/>
    <w:rsid w:val="00FA43E0"/>
    <w:rsid w:val="00FA44D0"/>
    <w:rsid w:val="00FA4504"/>
    <w:rsid w:val="00FA4753"/>
    <w:rsid w:val="00FA4EFB"/>
    <w:rsid w:val="00FA53CF"/>
    <w:rsid w:val="00FA57A8"/>
    <w:rsid w:val="00FA57B2"/>
    <w:rsid w:val="00FA5B70"/>
    <w:rsid w:val="00FA5C3E"/>
    <w:rsid w:val="00FA5C7B"/>
    <w:rsid w:val="00FA6624"/>
    <w:rsid w:val="00FA66AC"/>
    <w:rsid w:val="00FA69F8"/>
    <w:rsid w:val="00FA6B45"/>
    <w:rsid w:val="00FA70A7"/>
    <w:rsid w:val="00FA727C"/>
    <w:rsid w:val="00FA7457"/>
    <w:rsid w:val="00FA7A9E"/>
    <w:rsid w:val="00FA7C61"/>
    <w:rsid w:val="00FA7DD0"/>
    <w:rsid w:val="00FB010E"/>
    <w:rsid w:val="00FB0329"/>
    <w:rsid w:val="00FB0559"/>
    <w:rsid w:val="00FB0848"/>
    <w:rsid w:val="00FB0950"/>
    <w:rsid w:val="00FB0BDE"/>
    <w:rsid w:val="00FB0D2C"/>
    <w:rsid w:val="00FB141A"/>
    <w:rsid w:val="00FB185A"/>
    <w:rsid w:val="00FB18CA"/>
    <w:rsid w:val="00FB1936"/>
    <w:rsid w:val="00FB1CC5"/>
    <w:rsid w:val="00FB1CF8"/>
    <w:rsid w:val="00FB1E13"/>
    <w:rsid w:val="00FB1E6A"/>
    <w:rsid w:val="00FB1E8C"/>
    <w:rsid w:val="00FB2157"/>
    <w:rsid w:val="00FB2572"/>
    <w:rsid w:val="00FB2612"/>
    <w:rsid w:val="00FB26AF"/>
    <w:rsid w:val="00FB29A4"/>
    <w:rsid w:val="00FB2BB8"/>
    <w:rsid w:val="00FB2CBC"/>
    <w:rsid w:val="00FB2FD8"/>
    <w:rsid w:val="00FB33F0"/>
    <w:rsid w:val="00FB34D0"/>
    <w:rsid w:val="00FB3C6C"/>
    <w:rsid w:val="00FB3D57"/>
    <w:rsid w:val="00FB3E02"/>
    <w:rsid w:val="00FB41C7"/>
    <w:rsid w:val="00FB4356"/>
    <w:rsid w:val="00FB45FF"/>
    <w:rsid w:val="00FB49B2"/>
    <w:rsid w:val="00FB49DC"/>
    <w:rsid w:val="00FB538E"/>
    <w:rsid w:val="00FB5A10"/>
    <w:rsid w:val="00FB5ACA"/>
    <w:rsid w:val="00FB5D1C"/>
    <w:rsid w:val="00FB5F06"/>
    <w:rsid w:val="00FB5F3C"/>
    <w:rsid w:val="00FB5F7B"/>
    <w:rsid w:val="00FB6014"/>
    <w:rsid w:val="00FB650D"/>
    <w:rsid w:val="00FB6607"/>
    <w:rsid w:val="00FB66A3"/>
    <w:rsid w:val="00FB6BEC"/>
    <w:rsid w:val="00FB6EEE"/>
    <w:rsid w:val="00FB6FE7"/>
    <w:rsid w:val="00FB70DB"/>
    <w:rsid w:val="00FB74DE"/>
    <w:rsid w:val="00FB78B8"/>
    <w:rsid w:val="00FB78CE"/>
    <w:rsid w:val="00FB7D7F"/>
    <w:rsid w:val="00FB7E36"/>
    <w:rsid w:val="00FB7E8A"/>
    <w:rsid w:val="00FC03CE"/>
    <w:rsid w:val="00FC0717"/>
    <w:rsid w:val="00FC09C8"/>
    <w:rsid w:val="00FC0AD7"/>
    <w:rsid w:val="00FC0DAF"/>
    <w:rsid w:val="00FC0F00"/>
    <w:rsid w:val="00FC110E"/>
    <w:rsid w:val="00FC1AFC"/>
    <w:rsid w:val="00FC20E0"/>
    <w:rsid w:val="00FC2216"/>
    <w:rsid w:val="00FC2333"/>
    <w:rsid w:val="00FC286C"/>
    <w:rsid w:val="00FC2A21"/>
    <w:rsid w:val="00FC2A7B"/>
    <w:rsid w:val="00FC2AA9"/>
    <w:rsid w:val="00FC2B18"/>
    <w:rsid w:val="00FC2D29"/>
    <w:rsid w:val="00FC38AA"/>
    <w:rsid w:val="00FC3EDB"/>
    <w:rsid w:val="00FC3EE7"/>
    <w:rsid w:val="00FC4108"/>
    <w:rsid w:val="00FC4126"/>
    <w:rsid w:val="00FC4134"/>
    <w:rsid w:val="00FC435F"/>
    <w:rsid w:val="00FC4900"/>
    <w:rsid w:val="00FC4A6F"/>
    <w:rsid w:val="00FC5746"/>
    <w:rsid w:val="00FC5787"/>
    <w:rsid w:val="00FC5D76"/>
    <w:rsid w:val="00FC62EC"/>
    <w:rsid w:val="00FC6399"/>
    <w:rsid w:val="00FC66CD"/>
    <w:rsid w:val="00FC67EE"/>
    <w:rsid w:val="00FC68A5"/>
    <w:rsid w:val="00FC6B8C"/>
    <w:rsid w:val="00FC74B1"/>
    <w:rsid w:val="00FC76BE"/>
    <w:rsid w:val="00FC77CA"/>
    <w:rsid w:val="00FC7994"/>
    <w:rsid w:val="00FC7FBA"/>
    <w:rsid w:val="00FD0081"/>
    <w:rsid w:val="00FD0165"/>
    <w:rsid w:val="00FD02AE"/>
    <w:rsid w:val="00FD0476"/>
    <w:rsid w:val="00FD0C4F"/>
    <w:rsid w:val="00FD10CA"/>
    <w:rsid w:val="00FD120C"/>
    <w:rsid w:val="00FD12BE"/>
    <w:rsid w:val="00FD18F2"/>
    <w:rsid w:val="00FD1C7C"/>
    <w:rsid w:val="00FD1E7D"/>
    <w:rsid w:val="00FD26C7"/>
    <w:rsid w:val="00FD2A68"/>
    <w:rsid w:val="00FD2FBE"/>
    <w:rsid w:val="00FD2FC6"/>
    <w:rsid w:val="00FD30F0"/>
    <w:rsid w:val="00FD30F8"/>
    <w:rsid w:val="00FD3567"/>
    <w:rsid w:val="00FD384C"/>
    <w:rsid w:val="00FD395A"/>
    <w:rsid w:val="00FD3FDE"/>
    <w:rsid w:val="00FD44D8"/>
    <w:rsid w:val="00FD4616"/>
    <w:rsid w:val="00FD4CFA"/>
    <w:rsid w:val="00FD4DA9"/>
    <w:rsid w:val="00FD5D50"/>
    <w:rsid w:val="00FD5FA4"/>
    <w:rsid w:val="00FD6062"/>
    <w:rsid w:val="00FD66BB"/>
    <w:rsid w:val="00FD66EF"/>
    <w:rsid w:val="00FD6999"/>
    <w:rsid w:val="00FD6A01"/>
    <w:rsid w:val="00FD6AF4"/>
    <w:rsid w:val="00FD6C4A"/>
    <w:rsid w:val="00FD747B"/>
    <w:rsid w:val="00FE0849"/>
    <w:rsid w:val="00FE0C01"/>
    <w:rsid w:val="00FE0C12"/>
    <w:rsid w:val="00FE0C7C"/>
    <w:rsid w:val="00FE0EDC"/>
    <w:rsid w:val="00FE0F02"/>
    <w:rsid w:val="00FE0F65"/>
    <w:rsid w:val="00FE12CE"/>
    <w:rsid w:val="00FE1342"/>
    <w:rsid w:val="00FE1363"/>
    <w:rsid w:val="00FE1379"/>
    <w:rsid w:val="00FE158A"/>
    <w:rsid w:val="00FE1BDD"/>
    <w:rsid w:val="00FE1C44"/>
    <w:rsid w:val="00FE2104"/>
    <w:rsid w:val="00FE24DA"/>
    <w:rsid w:val="00FE24ED"/>
    <w:rsid w:val="00FE254A"/>
    <w:rsid w:val="00FE267B"/>
    <w:rsid w:val="00FE2A66"/>
    <w:rsid w:val="00FE2F84"/>
    <w:rsid w:val="00FE3409"/>
    <w:rsid w:val="00FE3486"/>
    <w:rsid w:val="00FE364C"/>
    <w:rsid w:val="00FE3925"/>
    <w:rsid w:val="00FE47CA"/>
    <w:rsid w:val="00FE47EB"/>
    <w:rsid w:val="00FE4A89"/>
    <w:rsid w:val="00FE4E7C"/>
    <w:rsid w:val="00FE4EDF"/>
    <w:rsid w:val="00FE4EE4"/>
    <w:rsid w:val="00FE516A"/>
    <w:rsid w:val="00FE5D09"/>
    <w:rsid w:val="00FE5D8B"/>
    <w:rsid w:val="00FE5DD6"/>
    <w:rsid w:val="00FE605A"/>
    <w:rsid w:val="00FE6631"/>
    <w:rsid w:val="00FE66B2"/>
    <w:rsid w:val="00FE6A92"/>
    <w:rsid w:val="00FE6D8E"/>
    <w:rsid w:val="00FE6DCB"/>
    <w:rsid w:val="00FE6F1F"/>
    <w:rsid w:val="00FE6F87"/>
    <w:rsid w:val="00FE703E"/>
    <w:rsid w:val="00FE7673"/>
    <w:rsid w:val="00FE7BEE"/>
    <w:rsid w:val="00FF00EA"/>
    <w:rsid w:val="00FF029B"/>
    <w:rsid w:val="00FF0BA2"/>
    <w:rsid w:val="00FF0FE5"/>
    <w:rsid w:val="00FF14E3"/>
    <w:rsid w:val="00FF1A74"/>
    <w:rsid w:val="00FF1BA7"/>
    <w:rsid w:val="00FF1D2B"/>
    <w:rsid w:val="00FF2059"/>
    <w:rsid w:val="00FF244A"/>
    <w:rsid w:val="00FF253F"/>
    <w:rsid w:val="00FF25F7"/>
    <w:rsid w:val="00FF29C2"/>
    <w:rsid w:val="00FF2AD4"/>
    <w:rsid w:val="00FF2E14"/>
    <w:rsid w:val="00FF39B8"/>
    <w:rsid w:val="00FF3AE8"/>
    <w:rsid w:val="00FF3DF8"/>
    <w:rsid w:val="00FF40DA"/>
    <w:rsid w:val="00FF41CA"/>
    <w:rsid w:val="00FF4296"/>
    <w:rsid w:val="00FF42BA"/>
    <w:rsid w:val="00FF4475"/>
    <w:rsid w:val="00FF46DD"/>
    <w:rsid w:val="00FF4747"/>
    <w:rsid w:val="00FF488B"/>
    <w:rsid w:val="00FF4A52"/>
    <w:rsid w:val="00FF4EBE"/>
    <w:rsid w:val="00FF4FA3"/>
    <w:rsid w:val="00FF54FE"/>
    <w:rsid w:val="00FF5709"/>
    <w:rsid w:val="00FF5CC4"/>
    <w:rsid w:val="00FF5E6F"/>
    <w:rsid w:val="00FF6291"/>
    <w:rsid w:val="00FF6927"/>
    <w:rsid w:val="00FF6A6E"/>
    <w:rsid w:val="00FF6A9F"/>
    <w:rsid w:val="00FF6E3F"/>
    <w:rsid w:val="00FF7431"/>
    <w:rsid w:val="00FF7466"/>
    <w:rsid w:val="00FF7658"/>
    <w:rsid w:val="00FF776E"/>
    <w:rsid w:val="00FF77C4"/>
    <w:rsid w:val="00FF782F"/>
    <w:rsid w:val="00FF7927"/>
    <w:rsid w:val="00FF7D82"/>
    <w:rsid w:val="00FF7DBB"/>
    <w:rsid w:val="00FF7E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ddd,#eaeaea"/>
    </o:shapedefaults>
    <o:shapelayout v:ext="edit">
      <o:idmap v:ext="edit" data="1"/>
      <o:rules v:ext="edit">
        <o:r id="V:Rule1" type="connector" idref="#AutoShape 929"/>
        <o:r id="V:Rule2" type="connector" idref="#AutoShape 930"/>
        <o:r id="V:Rule3" type="connector" idref="#AutoShape 931"/>
        <o:r id="V:Rule4" type="connector" idref="#AutoShape 8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C83"/>
    <w:pPr>
      <w:spacing w:before="240"/>
      <w:jc w:val="both"/>
    </w:pPr>
    <w:rPr>
      <w:rFonts w:ascii="Arial" w:hAnsi="Arial"/>
      <w:sz w:val="22"/>
      <w:szCs w:val="24"/>
    </w:rPr>
  </w:style>
  <w:style w:type="paragraph" w:styleId="Heading1">
    <w:name w:val="heading 1"/>
    <w:basedOn w:val="Normal"/>
    <w:next w:val="Normal"/>
    <w:link w:val="Heading1Char"/>
    <w:qFormat/>
    <w:rsid w:val="000F78B0"/>
    <w:pPr>
      <w:keepNext/>
      <w:spacing w:after="60"/>
      <w:outlineLvl w:val="0"/>
    </w:pPr>
    <w:rPr>
      <w:rFonts w:ascii="Arial Black" w:hAnsi="Arial Black"/>
      <w:bCs/>
      <w:color w:val="17365D"/>
      <w:kern w:val="32"/>
      <w:sz w:val="36"/>
      <w:szCs w:val="32"/>
    </w:rPr>
  </w:style>
  <w:style w:type="paragraph" w:styleId="Heading2">
    <w:name w:val="heading 2"/>
    <w:basedOn w:val="Normal"/>
    <w:next w:val="Normal"/>
    <w:link w:val="Heading2Char"/>
    <w:qFormat/>
    <w:rsid w:val="00FF42BA"/>
    <w:pPr>
      <w:keepNext/>
      <w:spacing w:before="360" w:after="60"/>
      <w:jc w:val="left"/>
      <w:outlineLvl w:val="1"/>
    </w:pPr>
    <w:rPr>
      <w:b/>
      <w:bCs/>
      <w:iCs/>
      <w:color w:val="365F91"/>
      <w:sz w:val="32"/>
      <w:szCs w:val="28"/>
    </w:rPr>
  </w:style>
  <w:style w:type="paragraph" w:styleId="Heading3">
    <w:name w:val="heading 3"/>
    <w:basedOn w:val="Normal"/>
    <w:next w:val="Normal"/>
    <w:link w:val="Heading3Char"/>
    <w:qFormat/>
    <w:rsid w:val="00157112"/>
    <w:pPr>
      <w:keepNext/>
      <w:spacing w:before="360"/>
      <w:jc w:val="left"/>
      <w:outlineLvl w:val="2"/>
    </w:pPr>
    <w:rPr>
      <w:b/>
      <w:bCs/>
      <w:i/>
      <w:color w:val="365F91"/>
      <w:sz w:val="28"/>
      <w:szCs w:val="26"/>
    </w:rPr>
  </w:style>
  <w:style w:type="paragraph" w:styleId="Heading4">
    <w:name w:val="heading 4"/>
    <w:basedOn w:val="Normal"/>
    <w:next w:val="Normal"/>
    <w:link w:val="Heading4Char"/>
    <w:qFormat/>
    <w:rsid w:val="0071770D"/>
    <w:pPr>
      <w:keepNext/>
      <w:spacing w:before="360" w:after="240"/>
      <w:outlineLvl w:val="3"/>
    </w:pPr>
    <w:rPr>
      <w:b/>
      <w:bCs/>
      <w:sz w:val="24"/>
      <w:szCs w:val="28"/>
    </w:rPr>
  </w:style>
  <w:style w:type="paragraph" w:styleId="Heading5">
    <w:name w:val="heading 5"/>
    <w:basedOn w:val="Normal"/>
    <w:next w:val="Normal"/>
    <w:link w:val="Heading5Char"/>
    <w:qFormat/>
    <w:rsid w:val="00091DA9"/>
    <w:pPr>
      <w:keepNext/>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356"/>
    <w:rPr>
      <w:rFonts w:ascii="Tahoma" w:hAnsi="Tahoma" w:cs="Tahoma"/>
      <w:sz w:val="16"/>
      <w:szCs w:val="16"/>
    </w:rPr>
  </w:style>
  <w:style w:type="table" w:styleId="TableGrid">
    <w:name w:val="Table Grid"/>
    <w:basedOn w:val="TableNormal"/>
    <w:rsid w:val="00745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756103"/>
    <w:pPr>
      <w:tabs>
        <w:tab w:val="left" w:pos="284"/>
      </w:tabs>
      <w:spacing w:before="120"/>
      <w:ind w:left="284" w:hanging="284"/>
    </w:pPr>
    <w:rPr>
      <w:sz w:val="20"/>
      <w:szCs w:val="20"/>
    </w:rPr>
  </w:style>
  <w:style w:type="character" w:styleId="FootnoteReference">
    <w:name w:val="footnote reference"/>
    <w:semiHidden/>
    <w:rsid w:val="00F65F91"/>
    <w:rPr>
      <w:vertAlign w:val="superscript"/>
    </w:rPr>
  </w:style>
  <w:style w:type="character" w:styleId="CommentReference">
    <w:name w:val="annotation reference"/>
    <w:uiPriority w:val="99"/>
    <w:semiHidden/>
    <w:rsid w:val="009F250E"/>
    <w:rPr>
      <w:sz w:val="16"/>
      <w:szCs w:val="16"/>
    </w:rPr>
  </w:style>
  <w:style w:type="paragraph" w:styleId="CommentText">
    <w:name w:val="annotation text"/>
    <w:basedOn w:val="Normal"/>
    <w:link w:val="CommentTextChar"/>
    <w:uiPriority w:val="99"/>
    <w:semiHidden/>
    <w:rsid w:val="009F250E"/>
    <w:rPr>
      <w:sz w:val="20"/>
      <w:szCs w:val="20"/>
    </w:rPr>
  </w:style>
  <w:style w:type="paragraph" w:styleId="CommentSubject">
    <w:name w:val="annotation subject"/>
    <w:basedOn w:val="CommentText"/>
    <w:next w:val="CommentText"/>
    <w:semiHidden/>
    <w:rsid w:val="009F250E"/>
    <w:rPr>
      <w:b/>
      <w:bCs/>
    </w:rPr>
  </w:style>
  <w:style w:type="paragraph" w:customStyle="1" w:styleId="Default">
    <w:name w:val="Default"/>
    <w:rsid w:val="00CB218B"/>
    <w:pPr>
      <w:autoSpaceDE w:val="0"/>
      <w:autoSpaceDN w:val="0"/>
      <w:adjustRightInd w:val="0"/>
    </w:pPr>
    <w:rPr>
      <w:rFonts w:ascii="Arial" w:hAnsi="Arial" w:cs="Arial"/>
      <w:color w:val="000000"/>
      <w:sz w:val="24"/>
      <w:szCs w:val="24"/>
    </w:rPr>
  </w:style>
  <w:style w:type="paragraph" w:customStyle="1" w:styleId="Pa10">
    <w:name w:val="Pa10"/>
    <w:basedOn w:val="Default"/>
    <w:next w:val="Default"/>
    <w:rsid w:val="00BC0AF0"/>
    <w:pPr>
      <w:spacing w:line="281" w:lineRule="atLeast"/>
    </w:pPr>
    <w:rPr>
      <w:rFonts w:ascii="UPBLOX+Interstate-LightCondense" w:hAnsi="UPBLOX+Interstate-LightCondense" w:cs="Times New Roman"/>
      <w:color w:val="auto"/>
    </w:rPr>
  </w:style>
  <w:style w:type="paragraph" w:customStyle="1" w:styleId="Pa14">
    <w:name w:val="Pa14"/>
    <w:basedOn w:val="Default"/>
    <w:next w:val="Default"/>
    <w:rsid w:val="00BC0AF0"/>
    <w:pPr>
      <w:spacing w:after="340" w:line="281" w:lineRule="atLeast"/>
    </w:pPr>
    <w:rPr>
      <w:rFonts w:ascii="UPBLOX+Interstate-LightCondense" w:hAnsi="UPBLOX+Interstate-LightCondense" w:cs="Times New Roman"/>
      <w:color w:val="auto"/>
    </w:rPr>
  </w:style>
  <w:style w:type="character" w:styleId="Hyperlink">
    <w:name w:val="Hyperlink"/>
    <w:uiPriority w:val="99"/>
    <w:rsid w:val="000E3850"/>
    <w:rPr>
      <w:color w:val="0000FF"/>
      <w:u w:val="single"/>
    </w:rPr>
  </w:style>
  <w:style w:type="paragraph" w:customStyle="1" w:styleId="NormalWeb3">
    <w:name w:val="Normal (Web)3"/>
    <w:basedOn w:val="Normal"/>
    <w:rsid w:val="00E7560D"/>
    <w:pPr>
      <w:spacing w:before="48" w:after="240"/>
    </w:pPr>
  </w:style>
  <w:style w:type="paragraph" w:styleId="DocumentMap">
    <w:name w:val="Document Map"/>
    <w:basedOn w:val="Normal"/>
    <w:semiHidden/>
    <w:rsid w:val="00C5478E"/>
    <w:pPr>
      <w:shd w:val="clear" w:color="auto" w:fill="000080"/>
    </w:pPr>
    <w:rPr>
      <w:rFonts w:ascii="Tahoma" w:hAnsi="Tahoma" w:cs="Tahoma"/>
    </w:rPr>
  </w:style>
  <w:style w:type="paragraph" w:styleId="NormalWeb">
    <w:name w:val="Normal (Web)"/>
    <w:basedOn w:val="Normal"/>
    <w:uiPriority w:val="99"/>
    <w:rsid w:val="00DB772C"/>
    <w:pPr>
      <w:spacing w:before="100" w:beforeAutospacing="1" w:after="100" w:afterAutospacing="1"/>
    </w:pPr>
  </w:style>
  <w:style w:type="paragraph" w:customStyle="1" w:styleId="NormalWeb1">
    <w:name w:val="Normal (Web)1"/>
    <w:basedOn w:val="Normal"/>
    <w:rsid w:val="00DB772C"/>
  </w:style>
  <w:style w:type="paragraph" w:customStyle="1" w:styleId="1">
    <w:name w:val="1"/>
    <w:basedOn w:val="Normal"/>
    <w:rsid w:val="008E4486"/>
    <w:pPr>
      <w:spacing w:after="160" w:line="240" w:lineRule="exact"/>
    </w:pPr>
    <w:rPr>
      <w:rFonts w:ascii="Verdana" w:hAnsi="Verdana"/>
      <w:sz w:val="20"/>
      <w:szCs w:val="20"/>
      <w:lang w:val="en-US" w:eastAsia="en-US"/>
    </w:rPr>
  </w:style>
  <w:style w:type="character" w:styleId="Strong">
    <w:name w:val="Strong"/>
    <w:uiPriority w:val="22"/>
    <w:qFormat/>
    <w:rsid w:val="00261DD1"/>
    <w:rPr>
      <w:b/>
      <w:bCs/>
    </w:rPr>
  </w:style>
  <w:style w:type="character" w:styleId="Emphasis">
    <w:name w:val="Emphasis"/>
    <w:uiPriority w:val="20"/>
    <w:qFormat/>
    <w:rsid w:val="00261DD1"/>
    <w:rPr>
      <w:i/>
      <w:iCs/>
    </w:rPr>
  </w:style>
  <w:style w:type="character" w:customStyle="1" w:styleId="macron2">
    <w:name w:val="macron2"/>
    <w:rsid w:val="00261DD1"/>
    <w:rPr>
      <w:rFonts w:ascii="Arial" w:hAnsi="Arial" w:cs="Arial" w:hint="default"/>
    </w:rPr>
  </w:style>
  <w:style w:type="character" w:customStyle="1" w:styleId="text301">
    <w:name w:val="text301"/>
    <w:rsid w:val="00261DD1"/>
    <w:rPr>
      <w:rFonts w:ascii="Arial" w:hAnsi="Arial" w:cs="Arial" w:hint="default"/>
      <w:strike w:val="0"/>
      <w:dstrike w:val="0"/>
      <w:color w:val="666666"/>
      <w:sz w:val="17"/>
      <w:szCs w:val="17"/>
      <w:u w:val="none"/>
      <w:effect w:val="none"/>
    </w:rPr>
  </w:style>
  <w:style w:type="paragraph" w:styleId="Footer">
    <w:name w:val="footer"/>
    <w:basedOn w:val="Normal"/>
    <w:link w:val="FooterChar"/>
    <w:rsid w:val="00300D67"/>
    <w:pPr>
      <w:tabs>
        <w:tab w:val="center" w:pos="4153"/>
        <w:tab w:val="right" w:pos="8306"/>
      </w:tabs>
    </w:pPr>
  </w:style>
  <w:style w:type="character" w:styleId="PageNumber">
    <w:name w:val="page number"/>
    <w:basedOn w:val="DefaultParagraphFont"/>
    <w:rsid w:val="00300D67"/>
  </w:style>
  <w:style w:type="paragraph" w:styleId="TOC1">
    <w:name w:val="toc 1"/>
    <w:basedOn w:val="Normal"/>
    <w:next w:val="Normal"/>
    <w:autoRedefine/>
    <w:uiPriority w:val="39"/>
    <w:rsid w:val="00E14C21"/>
    <w:pPr>
      <w:tabs>
        <w:tab w:val="right" w:leader="dot" w:pos="9072"/>
      </w:tabs>
      <w:jc w:val="left"/>
    </w:pPr>
    <w:rPr>
      <w:b/>
      <w:szCs w:val="28"/>
    </w:rPr>
  </w:style>
  <w:style w:type="paragraph" w:styleId="TOC2">
    <w:name w:val="toc 2"/>
    <w:basedOn w:val="Normal"/>
    <w:next w:val="Normal"/>
    <w:autoRedefine/>
    <w:uiPriority w:val="39"/>
    <w:rsid w:val="00E14C21"/>
    <w:pPr>
      <w:tabs>
        <w:tab w:val="right" w:leader="dot" w:pos="9072"/>
      </w:tabs>
      <w:spacing w:before="120"/>
      <w:ind w:left="284"/>
      <w:jc w:val="left"/>
    </w:pPr>
    <w:rPr>
      <w:b/>
      <w:i/>
      <w:noProof/>
      <w:szCs w:val="22"/>
    </w:rPr>
  </w:style>
  <w:style w:type="paragraph" w:customStyle="1" w:styleId="CharChar">
    <w:name w:val="Char Char"/>
    <w:basedOn w:val="Normal"/>
    <w:rsid w:val="00852904"/>
    <w:pPr>
      <w:spacing w:after="160" w:line="240" w:lineRule="exact"/>
    </w:pPr>
    <w:rPr>
      <w:rFonts w:ascii="Verdana" w:hAnsi="Verdana"/>
      <w:sz w:val="20"/>
      <w:szCs w:val="20"/>
      <w:lang w:eastAsia="en-US"/>
    </w:rPr>
  </w:style>
  <w:style w:type="paragraph" w:styleId="TOC3">
    <w:name w:val="toc 3"/>
    <w:basedOn w:val="Normal"/>
    <w:next w:val="Normal"/>
    <w:autoRedefine/>
    <w:uiPriority w:val="39"/>
    <w:rsid w:val="00336D19"/>
    <w:pPr>
      <w:tabs>
        <w:tab w:val="left" w:pos="880"/>
        <w:tab w:val="right" w:leader="dot" w:pos="9072"/>
      </w:tabs>
      <w:spacing w:before="60"/>
      <w:ind w:left="442"/>
      <w:jc w:val="left"/>
    </w:pPr>
    <w:rPr>
      <w:noProof/>
    </w:rPr>
  </w:style>
  <w:style w:type="paragraph" w:styleId="Header">
    <w:name w:val="header"/>
    <w:basedOn w:val="Normal"/>
    <w:link w:val="HeaderChar"/>
    <w:uiPriority w:val="99"/>
    <w:rsid w:val="009A57B2"/>
    <w:pPr>
      <w:tabs>
        <w:tab w:val="center" w:pos="4153"/>
        <w:tab w:val="right" w:pos="8306"/>
      </w:tabs>
    </w:pPr>
  </w:style>
  <w:style w:type="paragraph" w:styleId="TOC4">
    <w:name w:val="toc 4"/>
    <w:basedOn w:val="Normal"/>
    <w:next w:val="Normal"/>
    <w:autoRedefine/>
    <w:uiPriority w:val="39"/>
    <w:rsid w:val="00910638"/>
    <w:pPr>
      <w:spacing w:before="60"/>
      <w:ind w:left="658"/>
    </w:pPr>
  </w:style>
  <w:style w:type="paragraph" w:styleId="TOC5">
    <w:name w:val="toc 5"/>
    <w:basedOn w:val="Normal"/>
    <w:next w:val="Normal"/>
    <w:autoRedefine/>
    <w:uiPriority w:val="39"/>
    <w:rsid w:val="00091DA9"/>
    <w:pPr>
      <w:ind w:left="880"/>
    </w:pPr>
  </w:style>
  <w:style w:type="character" w:customStyle="1" w:styleId="EmailStyle441">
    <w:name w:val="EmailStyle441"/>
    <w:semiHidden/>
    <w:rsid w:val="00BF64A3"/>
    <w:rPr>
      <w:rFonts w:ascii="Arial" w:hAnsi="Arial" w:cs="Arial"/>
      <w:color w:val="000080"/>
      <w:sz w:val="20"/>
      <w:szCs w:val="20"/>
    </w:rPr>
  </w:style>
  <w:style w:type="paragraph" w:customStyle="1" w:styleId="Pa0">
    <w:name w:val="Pa0"/>
    <w:basedOn w:val="Default"/>
    <w:next w:val="Default"/>
    <w:rsid w:val="004F6AAC"/>
    <w:pPr>
      <w:spacing w:line="171" w:lineRule="atLeast"/>
    </w:pPr>
    <w:rPr>
      <w:rFonts w:ascii="MGalliardRoman" w:hAnsi="MGalliardRoman" w:cs="Times New Roman"/>
      <w:color w:val="auto"/>
    </w:rPr>
  </w:style>
  <w:style w:type="paragraph" w:styleId="BodyTextIndent">
    <w:name w:val="Body Text Indent"/>
    <w:basedOn w:val="Normal"/>
    <w:link w:val="BodyTextIndentChar"/>
    <w:rsid w:val="00E81010"/>
    <w:pPr>
      <w:ind w:left="360" w:hanging="360"/>
    </w:pPr>
    <w:rPr>
      <w:rFonts w:ascii="CG Times (WN)" w:hAnsi="CG Times (WN)"/>
      <w:szCs w:val="20"/>
      <w:lang w:val="en-AU" w:eastAsia="en-US"/>
    </w:rPr>
  </w:style>
  <w:style w:type="paragraph" w:customStyle="1" w:styleId="CharChar1">
    <w:name w:val="Char Char1"/>
    <w:basedOn w:val="Normal"/>
    <w:rsid w:val="00DA4853"/>
    <w:pPr>
      <w:spacing w:after="160" w:line="240" w:lineRule="exact"/>
    </w:pPr>
    <w:rPr>
      <w:rFonts w:ascii="Verdana" w:hAnsi="Verdana"/>
      <w:sz w:val="20"/>
      <w:szCs w:val="20"/>
      <w:lang w:val="en-US" w:eastAsia="en-US"/>
    </w:rPr>
  </w:style>
  <w:style w:type="paragraph" w:customStyle="1" w:styleId="CharCharCharCharChar1">
    <w:name w:val="Char Char Char Char Char1"/>
    <w:basedOn w:val="Normal"/>
    <w:rsid w:val="00A87BD6"/>
    <w:pPr>
      <w:spacing w:after="160" w:line="240" w:lineRule="exact"/>
    </w:pPr>
    <w:rPr>
      <w:rFonts w:ascii="Verdana" w:hAnsi="Verdana"/>
      <w:sz w:val="20"/>
      <w:szCs w:val="20"/>
      <w:lang w:val="en-US" w:eastAsia="en-US"/>
    </w:rPr>
  </w:style>
  <w:style w:type="paragraph" w:customStyle="1" w:styleId="ANZBodyText">
    <w:name w:val="ANZ Body Text"/>
    <w:basedOn w:val="Normal"/>
    <w:link w:val="ANZBodyTextChar"/>
    <w:qFormat/>
    <w:rsid w:val="006737F3"/>
    <w:pPr>
      <w:spacing w:after="240" w:line="260" w:lineRule="atLeast"/>
    </w:pPr>
    <w:rPr>
      <w:rFonts w:ascii="Tw Cen MT Mi" w:hAnsi="Tw Cen MT Mi"/>
      <w:sz w:val="24"/>
      <w:szCs w:val="22"/>
      <w:lang w:eastAsia="en-GB"/>
    </w:rPr>
  </w:style>
  <w:style w:type="character" w:customStyle="1" w:styleId="ANZBodyTextChar">
    <w:name w:val="ANZ Body Text Char"/>
    <w:link w:val="ANZBodyText"/>
    <w:rsid w:val="006737F3"/>
    <w:rPr>
      <w:rFonts w:ascii="Tw Cen MT Mi" w:hAnsi="Tw Cen MT Mi"/>
      <w:sz w:val="24"/>
      <w:szCs w:val="22"/>
      <w:lang w:val="en-NZ" w:eastAsia="en-GB" w:bidi="ar-SA"/>
    </w:rPr>
  </w:style>
  <w:style w:type="paragraph" w:customStyle="1" w:styleId="ANZBulletLevel1">
    <w:name w:val="ANZ Bullet Level 1"/>
    <w:basedOn w:val="ANZBodyText"/>
    <w:qFormat/>
    <w:rsid w:val="006737F3"/>
    <w:pPr>
      <w:numPr>
        <w:numId w:val="1"/>
      </w:numPr>
      <w:tabs>
        <w:tab w:val="clear" w:pos="851"/>
        <w:tab w:val="num" w:pos="360"/>
        <w:tab w:val="num" w:pos="720"/>
      </w:tabs>
      <w:ind w:left="0" w:firstLine="0"/>
    </w:pPr>
  </w:style>
  <w:style w:type="paragraph" w:customStyle="1" w:styleId="ANZBulletLevel2">
    <w:name w:val="ANZ Bullet Level 2"/>
    <w:basedOn w:val="ANZBulletLevel1"/>
    <w:qFormat/>
    <w:rsid w:val="006737F3"/>
    <w:pPr>
      <w:numPr>
        <w:numId w:val="2"/>
      </w:numPr>
      <w:tabs>
        <w:tab w:val="clear" w:pos="851"/>
        <w:tab w:val="clear" w:pos="1701"/>
        <w:tab w:val="num" w:pos="360"/>
        <w:tab w:val="num" w:pos="720"/>
        <w:tab w:val="num" w:pos="1287"/>
      </w:tabs>
      <w:ind w:left="851" w:hanging="851"/>
    </w:pPr>
  </w:style>
  <w:style w:type="paragraph" w:customStyle="1" w:styleId="ANZBulletLevel3">
    <w:name w:val="ANZ Bullet Level 3"/>
    <w:basedOn w:val="ANZBulletLevel1"/>
    <w:qFormat/>
    <w:rsid w:val="006737F3"/>
    <w:pPr>
      <w:numPr>
        <w:numId w:val="3"/>
      </w:numPr>
      <w:tabs>
        <w:tab w:val="clear" w:pos="851"/>
        <w:tab w:val="clear" w:pos="2552"/>
        <w:tab w:val="num" w:pos="360"/>
        <w:tab w:val="num" w:pos="720"/>
        <w:tab w:val="num" w:pos="1287"/>
      </w:tabs>
      <w:ind w:left="851" w:hanging="567"/>
    </w:pPr>
  </w:style>
  <w:style w:type="paragraph" w:customStyle="1" w:styleId="ANZHeading-L1">
    <w:name w:val="ANZ Heading - L1"/>
    <w:basedOn w:val="Normal"/>
    <w:next w:val="ANZBodyText"/>
    <w:qFormat/>
    <w:rsid w:val="006737F3"/>
    <w:pPr>
      <w:spacing w:after="240" w:line="260" w:lineRule="atLeast"/>
    </w:pPr>
    <w:rPr>
      <w:rFonts w:ascii="Tw Cen MT Mi" w:hAnsi="Tw Cen MT Mi"/>
      <w:b/>
      <w:kern w:val="28"/>
      <w:sz w:val="24"/>
      <w:szCs w:val="20"/>
      <w:lang w:eastAsia="en-US"/>
    </w:rPr>
  </w:style>
  <w:style w:type="paragraph" w:customStyle="1" w:styleId="labelledlabel-para">
    <w:name w:val="labelled label-para"/>
    <w:basedOn w:val="Normal"/>
    <w:rsid w:val="00332192"/>
    <w:rPr>
      <w:rFonts w:ascii="Times New Roman" w:hAnsi="Times New Roman"/>
      <w:sz w:val="24"/>
    </w:rPr>
  </w:style>
  <w:style w:type="paragraph" w:customStyle="1" w:styleId="NormalWeb4">
    <w:name w:val="Normal (Web)4"/>
    <w:basedOn w:val="Normal"/>
    <w:rsid w:val="00DE3F91"/>
    <w:pPr>
      <w:spacing w:before="100" w:beforeAutospacing="1" w:after="120" w:line="384" w:lineRule="atLeast"/>
    </w:pPr>
    <w:rPr>
      <w:rFonts w:ascii="Times New Roman" w:hAnsi="Times New Roman"/>
      <w:sz w:val="24"/>
    </w:rPr>
  </w:style>
  <w:style w:type="paragraph" w:styleId="ListBullet">
    <w:name w:val="List Bullet"/>
    <w:basedOn w:val="Normal"/>
    <w:autoRedefine/>
    <w:rsid w:val="00A31636"/>
    <w:pPr>
      <w:numPr>
        <w:numId w:val="4"/>
      </w:numPr>
    </w:pPr>
    <w:rPr>
      <w:rFonts w:ascii="Times New Roman" w:hAnsi="Times New Roman"/>
      <w:sz w:val="24"/>
      <w:lang w:val="en-AU" w:eastAsia="en-US"/>
    </w:rPr>
  </w:style>
  <w:style w:type="paragraph" w:customStyle="1" w:styleId="Formtext">
    <w:name w:val="Form text"/>
    <w:rsid w:val="00DD52EE"/>
    <w:pPr>
      <w:spacing w:before="120" w:after="120" w:line="240" w:lineRule="exact"/>
      <w:ind w:left="119" w:right="119"/>
    </w:pPr>
    <w:rPr>
      <w:rFonts w:ascii="Arial" w:hAnsi="Arial" w:cs="Arial"/>
      <w:sz w:val="18"/>
      <w:szCs w:val="18"/>
      <w:lang w:eastAsia="en-US"/>
    </w:rPr>
  </w:style>
  <w:style w:type="character" w:styleId="FollowedHyperlink">
    <w:name w:val="FollowedHyperlink"/>
    <w:rsid w:val="00DD52EE"/>
    <w:rPr>
      <w:color w:val="800080"/>
      <w:u w:val="single"/>
    </w:rPr>
  </w:style>
  <w:style w:type="paragraph" w:customStyle="1" w:styleId="formtextsubhd">
    <w:name w:val="formtextsubhd"/>
    <w:basedOn w:val="Normal"/>
    <w:rsid w:val="00DD52EE"/>
    <w:pPr>
      <w:spacing w:before="120" w:after="120" w:line="240" w:lineRule="atLeast"/>
      <w:ind w:left="119" w:right="119"/>
    </w:pPr>
    <w:rPr>
      <w:rFonts w:cs="Arial"/>
      <w:b/>
      <w:bCs/>
      <w:sz w:val="18"/>
      <w:szCs w:val="18"/>
    </w:rPr>
  </w:style>
  <w:style w:type="paragraph" w:customStyle="1" w:styleId="xl68">
    <w:name w:val="xl68"/>
    <w:basedOn w:val="Normal"/>
    <w:rsid w:val="00862B93"/>
    <w:pPr>
      <w:spacing w:before="100" w:beforeAutospacing="1" w:after="100" w:afterAutospacing="1"/>
    </w:pPr>
    <w:rPr>
      <w:rFonts w:cs="Arial"/>
      <w:sz w:val="24"/>
    </w:rPr>
  </w:style>
  <w:style w:type="paragraph" w:customStyle="1" w:styleId="xl70">
    <w:name w:val="xl70"/>
    <w:basedOn w:val="Normal"/>
    <w:rsid w:val="00862B93"/>
    <w:pPr>
      <w:spacing w:before="100" w:beforeAutospacing="1" w:after="100" w:afterAutospacing="1"/>
      <w:jc w:val="right"/>
    </w:pPr>
    <w:rPr>
      <w:rFonts w:cs="Arial"/>
      <w:b/>
      <w:bCs/>
      <w:sz w:val="24"/>
    </w:rPr>
  </w:style>
  <w:style w:type="paragraph" w:customStyle="1" w:styleId="xl71">
    <w:name w:val="xl71"/>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72">
    <w:name w:val="xl72"/>
    <w:basedOn w:val="Normal"/>
    <w:rsid w:val="00862B93"/>
    <w:pPr>
      <w:spacing w:before="100" w:beforeAutospacing="1" w:after="100" w:afterAutospacing="1"/>
    </w:pPr>
    <w:rPr>
      <w:rFonts w:cs="Arial"/>
      <w:sz w:val="24"/>
    </w:rPr>
  </w:style>
  <w:style w:type="paragraph" w:customStyle="1" w:styleId="xl73">
    <w:name w:val="xl73"/>
    <w:basedOn w:val="Normal"/>
    <w:rsid w:val="00862B93"/>
    <w:pPr>
      <w:pBdr>
        <w:top w:val="single" w:sz="4" w:space="0" w:color="auto"/>
        <w:bottom w:val="single" w:sz="4" w:space="0" w:color="auto"/>
      </w:pBdr>
      <w:spacing w:before="100" w:beforeAutospacing="1" w:after="100" w:afterAutospacing="1"/>
    </w:pPr>
    <w:rPr>
      <w:rFonts w:cs="Arial"/>
      <w:sz w:val="24"/>
    </w:rPr>
  </w:style>
  <w:style w:type="paragraph" w:customStyle="1" w:styleId="xl74">
    <w:name w:val="xl74"/>
    <w:basedOn w:val="Normal"/>
    <w:rsid w:val="00862B93"/>
    <w:pPr>
      <w:spacing w:before="100" w:beforeAutospacing="1" w:after="100" w:afterAutospacing="1"/>
    </w:pPr>
    <w:rPr>
      <w:rFonts w:cs="Arial"/>
      <w:sz w:val="24"/>
    </w:rPr>
  </w:style>
  <w:style w:type="paragraph" w:customStyle="1" w:styleId="xl76">
    <w:name w:val="xl76"/>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79">
    <w:name w:val="xl79"/>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0">
    <w:name w:val="xl80"/>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1">
    <w:name w:val="xl81"/>
    <w:basedOn w:val="Normal"/>
    <w:rsid w:val="00862B93"/>
    <w:pPr>
      <w:spacing w:before="100" w:beforeAutospacing="1" w:after="100" w:afterAutospacing="1"/>
    </w:pPr>
    <w:rPr>
      <w:rFonts w:cs="Arial"/>
      <w:b/>
      <w:bCs/>
      <w:sz w:val="24"/>
    </w:rPr>
  </w:style>
  <w:style w:type="paragraph" w:customStyle="1" w:styleId="xl82">
    <w:name w:val="xl82"/>
    <w:basedOn w:val="Normal"/>
    <w:rsid w:val="00862B93"/>
    <w:pPr>
      <w:spacing w:before="100" w:beforeAutospacing="1" w:after="100" w:afterAutospacing="1"/>
    </w:pPr>
    <w:rPr>
      <w:rFonts w:cs="Arial"/>
      <w:b/>
      <w:bCs/>
      <w:sz w:val="24"/>
    </w:rPr>
  </w:style>
  <w:style w:type="paragraph" w:customStyle="1" w:styleId="xl83">
    <w:name w:val="xl83"/>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84">
    <w:name w:val="xl84"/>
    <w:basedOn w:val="Normal"/>
    <w:rsid w:val="00862B93"/>
    <w:pPr>
      <w:spacing w:before="100" w:beforeAutospacing="1" w:after="100" w:afterAutospacing="1"/>
      <w:ind w:firstLineChars="100" w:firstLine="100"/>
    </w:pPr>
    <w:rPr>
      <w:rFonts w:cs="Arial"/>
      <w:sz w:val="24"/>
    </w:rPr>
  </w:style>
  <w:style w:type="paragraph" w:customStyle="1" w:styleId="xl85">
    <w:name w:val="xl85"/>
    <w:basedOn w:val="Normal"/>
    <w:rsid w:val="00862B93"/>
    <w:pPr>
      <w:spacing w:before="100" w:beforeAutospacing="1" w:after="100" w:afterAutospacing="1"/>
      <w:ind w:firstLineChars="100" w:firstLine="100"/>
    </w:pPr>
    <w:rPr>
      <w:rFonts w:cs="Arial"/>
      <w:sz w:val="24"/>
    </w:rPr>
  </w:style>
  <w:style w:type="paragraph" w:customStyle="1" w:styleId="xl86">
    <w:name w:val="xl86"/>
    <w:basedOn w:val="Normal"/>
    <w:rsid w:val="00862B93"/>
    <w:pPr>
      <w:spacing w:before="100" w:beforeAutospacing="1" w:after="100" w:afterAutospacing="1"/>
      <w:ind w:firstLineChars="100" w:firstLine="100"/>
    </w:pPr>
    <w:rPr>
      <w:rFonts w:cs="Arial"/>
      <w:sz w:val="24"/>
    </w:rPr>
  </w:style>
  <w:style w:type="paragraph" w:customStyle="1" w:styleId="xl87">
    <w:name w:val="xl87"/>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88">
    <w:name w:val="xl88"/>
    <w:basedOn w:val="Normal"/>
    <w:rsid w:val="00862B93"/>
    <w:pPr>
      <w:spacing w:before="100" w:beforeAutospacing="1" w:after="100" w:afterAutospacing="1"/>
      <w:jc w:val="right"/>
    </w:pPr>
    <w:rPr>
      <w:rFonts w:cs="Arial"/>
      <w:b/>
      <w:bCs/>
      <w:sz w:val="24"/>
    </w:rPr>
  </w:style>
  <w:style w:type="paragraph" w:customStyle="1" w:styleId="xl89">
    <w:name w:val="xl89"/>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0">
    <w:name w:val="xl90"/>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1">
    <w:name w:val="xl91"/>
    <w:basedOn w:val="Normal"/>
    <w:rsid w:val="00862B93"/>
    <w:pPr>
      <w:spacing w:before="100" w:beforeAutospacing="1" w:after="100" w:afterAutospacing="1"/>
    </w:pPr>
    <w:rPr>
      <w:rFonts w:ascii="Times New Roman" w:hAnsi="Times New Roman"/>
      <w:b/>
      <w:bCs/>
      <w:sz w:val="24"/>
    </w:rPr>
  </w:style>
  <w:style w:type="paragraph" w:customStyle="1" w:styleId="xl92">
    <w:name w:val="xl92"/>
    <w:basedOn w:val="Normal"/>
    <w:rsid w:val="00862B93"/>
    <w:pPr>
      <w:spacing w:before="100" w:beforeAutospacing="1" w:after="100" w:afterAutospacing="1"/>
      <w:jc w:val="right"/>
    </w:pPr>
    <w:rPr>
      <w:rFonts w:ascii="Times New Roman" w:hAnsi="Times New Roman"/>
      <w:b/>
      <w:bCs/>
      <w:sz w:val="24"/>
    </w:rPr>
  </w:style>
  <w:style w:type="paragraph" w:customStyle="1" w:styleId="xl93">
    <w:name w:val="xl93"/>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4">
    <w:name w:val="xl94"/>
    <w:basedOn w:val="Normal"/>
    <w:rsid w:val="00862B93"/>
    <w:pPr>
      <w:spacing w:before="100" w:beforeAutospacing="1" w:after="100" w:afterAutospacing="1"/>
    </w:pPr>
    <w:rPr>
      <w:rFonts w:ascii="Times New Roman" w:hAnsi="Times New Roman"/>
      <w:color w:val="FF0000"/>
      <w:sz w:val="24"/>
    </w:rPr>
  </w:style>
  <w:style w:type="paragraph" w:customStyle="1" w:styleId="xl95">
    <w:name w:val="xl95"/>
    <w:basedOn w:val="Normal"/>
    <w:rsid w:val="00862B93"/>
    <w:pPr>
      <w:spacing w:before="100" w:beforeAutospacing="1" w:after="100" w:afterAutospacing="1"/>
      <w:jc w:val="right"/>
    </w:pPr>
    <w:rPr>
      <w:rFonts w:cs="Arial"/>
      <w:b/>
      <w:bCs/>
      <w:sz w:val="24"/>
    </w:rPr>
  </w:style>
  <w:style w:type="paragraph" w:customStyle="1" w:styleId="xl96">
    <w:name w:val="xl96"/>
    <w:basedOn w:val="Normal"/>
    <w:rsid w:val="00862B93"/>
    <w:pPr>
      <w:spacing w:before="100" w:beforeAutospacing="1" w:after="100" w:afterAutospacing="1"/>
      <w:jc w:val="right"/>
    </w:pPr>
    <w:rPr>
      <w:rFonts w:cs="Arial"/>
      <w:b/>
      <w:bCs/>
      <w:sz w:val="24"/>
    </w:rPr>
  </w:style>
  <w:style w:type="paragraph" w:customStyle="1" w:styleId="xl97">
    <w:name w:val="xl97"/>
    <w:basedOn w:val="Normal"/>
    <w:rsid w:val="00862B93"/>
    <w:pPr>
      <w:spacing w:before="100" w:beforeAutospacing="1" w:after="100" w:afterAutospacing="1"/>
      <w:jc w:val="right"/>
    </w:pPr>
    <w:rPr>
      <w:rFonts w:cs="Arial"/>
      <w:b/>
      <w:bCs/>
      <w:sz w:val="24"/>
    </w:rPr>
  </w:style>
  <w:style w:type="paragraph" w:customStyle="1" w:styleId="xl98">
    <w:name w:val="xl98"/>
    <w:basedOn w:val="Normal"/>
    <w:rsid w:val="00862B93"/>
    <w:pPr>
      <w:spacing w:before="100" w:beforeAutospacing="1" w:after="100" w:afterAutospacing="1"/>
      <w:jc w:val="right"/>
    </w:pPr>
    <w:rPr>
      <w:rFonts w:cs="Arial"/>
      <w:b/>
      <w:bCs/>
      <w:sz w:val="24"/>
    </w:rPr>
  </w:style>
  <w:style w:type="paragraph" w:customStyle="1" w:styleId="xl99">
    <w:name w:val="xl99"/>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intro">
    <w:name w:val="intro"/>
    <w:basedOn w:val="Normal"/>
    <w:rsid w:val="00DB27F5"/>
    <w:pPr>
      <w:spacing w:after="100" w:afterAutospacing="1" w:line="336" w:lineRule="atLeast"/>
    </w:pPr>
    <w:rPr>
      <w:rFonts w:ascii="Georgia" w:hAnsi="Georgia"/>
      <w:i/>
      <w:iCs/>
      <w:color w:val="778899"/>
      <w:sz w:val="21"/>
      <w:szCs w:val="21"/>
    </w:rPr>
  </w:style>
  <w:style w:type="paragraph" w:customStyle="1" w:styleId="Pa5">
    <w:name w:val="Pa5"/>
    <w:basedOn w:val="Default"/>
    <w:next w:val="Default"/>
    <w:rsid w:val="00E72C2B"/>
    <w:pPr>
      <w:spacing w:line="171" w:lineRule="atLeast"/>
    </w:pPr>
    <w:rPr>
      <w:rFonts w:ascii="MGalliardRoman" w:hAnsi="MGalliardRoman" w:cs="Times New Roman"/>
      <w:color w:val="auto"/>
    </w:rPr>
  </w:style>
  <w:style w:type="paragraph" w:customStyle="1" w:styleId="Bullet">
    <w:name w:val="Bullet"/>
    <w:basedOn w:val="Normal"/>
    <w:rsid w:val="009633D3"/>
    <w:pPr>
      <w:numPr>
        <w:numId w:val="6"/>
      </w:numPr>
      <w:spacing w:before="120"/>
    </w:pPr>
    <w:rPr>
      <w:lang w:eastAsia="en-US"/>
    </w:rPr>
  </w:style>
  <w:style w:type="paragraph" w:customStyle="1" w:styleId="Notebullet">
    <w:name w:val="Note bullet"/>
    <w:basedOn w:val="Normal"/>
    <w:autoRedefine/>
    <w:rsid w:val="00AD0687"/>
    <w:pPr>
      <w:tabs>
        <w:tab w:val="left" w:pos="709"/>
      </w:tabs>
      <w:spacing w:before="120"/>
    </w:pPr>
    <w:rPr>
      <w:sz w:val="20"/>
      <w:szCs w:val="22"/>
      <w:lang w:eastAsia="en-US"/>
    </w:rPr>
  </w:style>
  <w:style w:type="paragraph" w:styleId="ListParagraph">
    <w:name w:val="List Paragraph"/>
    <w:basedOn w:val="Normal"/>
    <w:uiPriority w:val="34"/>
    <w:qFormat/>
    <w:rsid w:val="002C160E"/>
    <w:pPr>
      <w:ind w:left="720"/>
    </w:pPr>
  </w:style>
  <w:style w:type="paragraph" w:styleId="Title">
    <w:name w:val="Title"/>
    <w:basedOn w:val="Heading1"/>
    <w:next w:val="Normal"/>
    <w:link w:val="TitleChar"/>
    <w:uiPriority w:val="10"/>
    <w:qFormat/>
    <w:rsid w:val="009B0F58"/>
    <w:pPr>
      <w:spacing w:before="0" w:after="0"/>
    </w:pPr>
    <w:rPr>
      <w:color w:val="244061"/>
      <w:szCs w:val="36"/>
    </w:rPr>
  </w:style>
  <w:style w:type="character" w:customStyle="1" w:styleId="TitleChar">
    <w:name w:val="Title Char"/>
    <w:link w:val="Title"/>
    <w:uiPriority w:val="10"/>
    <w:rsid w:val="009B0F58"/>
    <w:rPr>
      <w:rFonts w:ascii="Arial Black" w:hAnsi="Arial Black" w:cs="Arial"/>
      <w:bCs/>
      <w:color w:val="244061"/>
      <w:kern w:val="32"/>
      <w:sz w:val="36"/>
      <w:szCs w:val="36"/>
    </w:rPr>
  </w:style>
  <w:style w:type="paragraph" w:styleId="Revision">
    <w:name w:val="Revision"/>
    <w:hidden/>
    <w:uiPriority w:val="99"/>
    <w:semiHidden/>
    <w:rsid w:val="00646FF5"/>
    <w:rPr>
      <w:rFonts w:ascii="Arial" w:hAnsi="Arial"/>
      <w:sz w:val="22"/>
      <w:szCs w:val="24"/>
    </w:rPr>
  </w:style>
  <w:style w:type="character" w:customStyle="1" w:styleId="BodyTextIndentChar">
    <w:name w:val="Body Text Indent Char"/>
    <w:link w:val="BodyTextIndent"/>
    <w:rsid w:val="00D26EDE"/>
    <w:rPr>
      <w:rFonts w:ascii="CG Times (WN)" w:hAnsi="CG Times (WN)"/>
      <w:sz w:val="22"/>
      <w:lang w:val="en-AU" w:eastAsia="en-US"/>
    </w:rPr>
  </w:style>
  <w:style w:type="character" w:customStyle="1" w:styleId="CommentTextChar">
    <w:name w:val="Comment Text Char"/>
    <w:link w:val="CommentText"/>
    <w:uiPriority w:val="99"/>
    <w:semiHidden/>
    <w:rsid w:val="00D16DB4"/>
    <w:rPr>
      <w:rFonts w:ascii="Arial" w:hAnsi="Arial"/>
    </w:rPr>
  </w:style>
  <w:style w:type="character" w:customStyle="1" w:styleId="Heading1Char">
    <w:name w:val="Heading 1 Char"/>
    <w:link w:val="Heading1"/>
    <w:rsid w:val="000F78B0"/>
    <w:rPr>
      <w:rFonts w:ascii="Arial Black" w:hAnsi="Arial Black" w:cs="Arial"/>
      <w:bCs/>
      <w:color w:val="17365D"/>
      <w:kern w:val="32"/>
      <w:sz w:val="36"/>
      <w:szCs w:val="32"/>
    </w:rPr>
  </w:style>
  <w:style w:type="character" w:customStyle="1" w:styleId="Heading2Char">
    <w:name w:val="Heading 2 Char"/>
    <w:link w:val="Heading2"/>
    <w:rsid w:val="00FF42BA"/>
    <w:rPr>
      <w:rFonts w:ascii="Arial" w:hAnsi="Arial"/>
      <w:b/>
      <w:bCs/>
      <w:iCs/>
      <w:color w:val="365F91"/>
      <w:sz w:val="32"/>
      <w:szCs w:val="28"/>
    </w:rPr>
  </w:style>
  <w:style w:type="character" w:customStyle="1" w:styleId="Heading3Char">
    <w:name w:val="Heading 3 Char"/>
    <w:link w:val="Heading3"/>
    <w:rsid w:val="00157112"/>
    <w:rPr>
      <w:rFonts w:ascii="Arial" w:hAnsi="Arial" w:cs="Arial"/>
      <w:b/>
      <w:bCs/>
      <w:i/>
      <w:color w:val="365F91"/>
      <w:sz w:val="28"/>
      <w:szCs w:val="26"/>
    </w:rPr>
  </w:style>
  <w:style w:type="character" w:customStyle="1" w:styleId="FooterChar">
    <w:name w:val="Footer Char"/>
    <w:link w:val="Footer"/>
    <w:rsid w:val="00661B41"/>
    <w:rPr>
      <w:rFonts w:ascii="Arial" w:hAnsi="Arial"/>
      <w:sz w:val="22"/>
      <w:szCs w:val="24"/>
    </w:rPr>
  </w:style>
  <w:style w:type="character" w:customStyle="1" w:styleId="HeaderChar">
    <w:name w:val="Header Char"/>
    <w:link w:val="Header"/>
    <w:uiPriority w:val="99"/>
    <w:rsid w:val="00661B41"/>
    <w:rPr>
      <w:rFonts w:ascii="Arial" w:hAnsi="Arial"/>
      <w:sz w:val="22"/>
      <w:szCs w:val="24"/>
    </w:rPr>
  </w:style>
  <w:style w:type="paragraph" w:customStyle="1" w:styleId="CharCharCharCharChar15">
    <w:name w:val="Char Char Char Char Char15"/>
    <w:basedOn w:val="Normal"/>
    <w:rsid w:val="006901EF"/>
    <w:pPr>
      <w:spacing w:after="160" w:line="240" w:lineRule="exact"/>
    </w:pPr>
    <w:rPr>
      <w:rFonts w:ascii="Verdana" w:hAnsi="Verdana"/>
      <w:sz w:val="20"/>
      <w:szCs w:val="20"/>
      <w:lang w:val="en-US" w:eastAsia="en-US"/>
    </w:rPr>
  </w:style>
  <w:style w:type="paragraph" w:customStyle="1" w:styleId="last-child">
    <w:name w:val="last-child"/>
    <w:basedOn w:val="Normal"/>
    <w:rsid w:val="00E529E1"/>
    <w:pPr>
      <w:spacing w:after="217"/>
    </w:pPr>
    <w:rPr>
      <w:rFonts w:ascii="Times New Roman" w:hAnsi="Times New Roman"/>
      <w:sz w:val="24"/>
    </w:rPr>
  </w:style>
  <w:style w:type="paragraph" w:customStyle="1" w:styleId="CharCharCharCharChar14">
    <w:name w:val="Char Char Char Char Char14"/>
    <w:basedOn w:val="Normal"/>
    <w:rsid w:val="00E96E3C"/>
    <w:pPr>
      <w:spacing w:after="160" w:line="240" w:lineRule="exact"/>
    </w:pPr>
    <w:rPr>
      <w:rFonts w:ascii="Verdana" w:hAnsi="Verdana"/>
      <w:sz w:val="20"/>
      <w:szCs w:val="20"/>
      <w:lang w:eastAsia="en-US"/>
    </w:rPr>
  </w:style>
  <w:style w:type="paragraph" w:customStyle="1" w:styleId="CharCharCharCharChar13">
    <w:name w:val="Char Char Char Char Char13"/>
    <w:basedOn w:val="Normal"/>
    <w:rsid w:val="00BF6671"/>
    <w:pPr>
      <w:spacing w:after="160" w:line="240" w:lineRule="exact"/>
    </w:pPr>
    <w:rPr>
      <w:rFonts w:ascii="Verdana" w:hAnsi="Verdana"/>
      <w:sz w:val="20"/>
      <w:szCs w:val="20"/>
      <w:lang w:eastAsia="en-US"/>
    </w:rPr>
  </w:style>
  <w:style w:type="paragraph" w:customStyle="1" w:styleId="CharCharCharCharChar12">
    <w:name w:val="Char Char Char Char Char12"/>
    <w:basedOn w:val="Normal"/>
    <w:rsid w:val="00D91B94"/>
    <w:pPr>
      <w:spacing w:after="160" w:line="240" w:lineRule="exact"/>
    </w:pPr>
    <w:rPr>
      <w:rFonts w:ascii="Verdana" w:hAnsi="Verdana"/>
      <w:sz w:val="20"/>
      <w:szCs w:val="20"/>
      <w:lang w:eastAsia="en-US"/>
    </w:rPr>
  </w:style>
  <w:style w:type="paragraph" w:customStyle="1" w:styleId="labelled">
    <w:name w:val="labelled"/>
    <w:basedOn w:val="Normal"/>
    <w:rsid w:val="00602BC5"/>
    <w:rPr>
      <w:rFonts w:ascii="Times New Roman" w:hAnsi="Times New Roman"/>
      <w:sz w:val="24"/>
    </w:rPr>
  </w:style>
  <w:style w:type="character" w:customStyle="1" w:styleId="spc">
    <w:name w:val="spc"/>
    <w:rsid w:val="00602BC5"/>
    <w:rPr>
      <w:rFonts w:ascii="Times New Roman" w:hAnsi="Times New Roman" w:cs="Times New Roman" w:hint="default"/>
      <w:strike w:val="0"/>
      <w:dstrike w:val="0"/>
      <w:u w:val="none"/>
      <w:effect w:val="none"/>
    </w:rPr>
  </w:style>
  <w:style w:type="character" w:customStyle="1" w:styleId="label">
    <w:name w:val="label"/>
    <w:rsid w:val="00602BC5"/>
    <w:rPr>
      <w:rFonts w:ascii="Times New Roman" w:hAnsi="Times New Roman" w:cs="Times New Roman" w:hint="default"/>
    </w:rPr>
  </w:style>
  <w:style w:type="paragraph" w:customStyle="1" w:styleId="CharCharCharCharChar11">
    <w:name w:val="Char Char Char Char Char11"/>
    <w:basedOn w:val="Normal"/>
    <w:rsid w:val="00715212"/>
    <w:pPr>
      <w:spacing w:after="160" w:line="240" w:lineRule="exact"/>
    </w:pPr>
    <w:rPr>
      <w:rFonts w:ascii="Verdana" w:hAnsi="Verdana"/>
      <w:sz w:val="20"/>
      <w:szCs w:val="20"/>
      <w:lang w:val="en-US" w:eastAsia="en-US"/>
    </w:rPr>
  </w:style>
  <w:style w:type="paragraph" w:customStyle="1" w:styleId="ANZLetteredList">
    <w:name w:val="ANZ Lettered List"/>
    <w:basedOn w:val="Normal"/>
    <w:rsid w:val="005C7B17"/>
    <w:pPr>
      <w:spacing w:after="240" w:line="260" w:lineRule="atLeast"/>
    </w:pPr>
    <w:rPr>
      <w:rFonts w:ascii="Tw Cen MT Mi" w:hAnsi="Tw Cen MT Mi"/>
      <w:sz w:val="24"/>
      <w:szCs w:val="22"/>
      <w:lang w:eastAsia="en-GB"/>
    </w:rPr>
  </w:style>
  <w:style w:type="paragraph" w:customStyle="1" w:styleId="BulletNumber">
    <w:name w:val="Bullet Number"/>
    <w:basedOn w:val="Bullet"/>
    <w:qFormat/>
    <w:rsid w:val="008E244B"/>
    <w:pPr>
      <w:ind w:left="623" w:hanging="510"/>
    </w:pPr>
  </w:style>
  <w:style w:type="paragraph" w:styleId="Caption">
    <w:name w:val="caption"/>
    <w:basedOn w:val="Normal"/>
    <w:next w:val="Normal"/>
    <w:uiPriority w:val="35"/>
    <w:unhideWhenUsed/>
    <w:qFormat/>
    <w:rsid w:val="00D72BB7"/>
    <w:pPr>
      <w:spacing w:before="0"/>
      <w:jc w:val="left"/>
    </w:pPr>
    <w:rPr>
      <w:b/>
      <w:bCs/>
      <w:color w:val="4F81BD"/>
      <w:sz w:val="18"/>
      <w:szCs w:val="18"/>
    </w:rPr>
  </w:style>
  <w:style w:type="paragraph" w:styleId="TOCHeading">
    <w:name w:val="TOC Heading"/>
    <w:basedOn w:val="Heading1"/>
    <w:next w:val="Normal"/>
    <w:uiPriority w:val="39"/>
    <w:semiHidden/>
    <w:unhideWhenUsed/>
    <w:qFormat/>
    <w:rsid w:val="004601CB"/>
    <w:pPr>
      <w:keepLines/>
      <w:spacing w:before="480" w:after="0" w:line="276" w:lineRule="auto"/>
      <w:jc w:val="left"/>
      <w:outlineLvl w:val="9"/>
    </w:pPr>
    <w:rPr>
      <w:rFonts w:ascii="Cambria" w:hAnsi="Cambria"/>
      <w:b/>
      <w:color w:val="365F91"/>
      <w:kern w:val="0"/>
      <w:sz w:val="28"/>
      <w:szCs w:val="28"/>
      <w:lang w:val="en-US" w:eastAsia="en-US"/>
    </w:rPr>
  </w:style>
  <w:style w:type="character" w:customStyle="1" w:styleId="Heading4Char">
    <w:name w:val="Heading 4 Char"/>
    <w:link w:val="Heading4"/>
    <w:rsid w:val="0071770D"/>
    <w:rPr>
      <w:rFonts w:ascii="Arial" w:hAnsi="Arial"/>
      <w:b/>
      <w:bCs/>
      <w:sz w:val="24"/>
      <w:szCs w:val="28"/>
    </w:rPr>
  </w:style>
  <w:style w:type="paragraph" w:customStyle="1" w:styleId="Bullet2">
    <w:name w:val="Bullet 2"/>
    <w:basedOn w:val="Bullet"/>
    <w:qFormat/>
    <w:rsid w:val="00E5009B"/>
    <w:pPr>
      <w:numPr>
        <w:numId w:val="7"/>
      </w:numPr>
      <w:tabs>
        <w:tab w:val="left" w:pos="1134"/>
      </w:tabs>
      <w:ind w:left="1134" w:hanging="510"/>
    </w:pPr>
  </w:style>
  <w:style w:type="paragraph" w:customStyle="1" w:styleId="Tabletext">
    <w:name w:val="Table text"/>
    <w:basedOn w:val="Normal"/>
    <w:qFormat/>
    <w:rsid w:val="00AD0687"/>
    <w:pPr>
      <w:spacing w:before="0"/>
      <w:jc w:val="left"/>
    </w:pPr>
    <w:rPr>
      <w:sz w:val="20"/>
    </w:rPr>
  </w:style>
  <w:style w:type="paragraph" w:styleId="TOC6">
    <w:name w:val="toc 6"/>
    <w:basedOn w:val="Normal"/>
    <w:next w:val="Normal"/>
    <w:autoRedefine/>
    <w:uiPriority w:val="39"/>
    <w:unhideWhenUsed/>
    <w:rsid w:val="003F7128"/>
    <w:pPr>
      <w:spacing w:before="0" w:after="100" w:line="276" w:lineRule="auto"/>
      <w:ind w:left="1100"/>
      <w:jc w:val="left"/>
    </w:pPr>
    <w:rPr>
      <w:rFonts w:ascii="Calibri" w:hAnsi="Calibri"/>
      <w:szCs w:val="22"/>
    </w:rPr>
  </w:style>
  <w:style w:type="paragraph" w:styleId="TOC7">
    <w:name w:val="toc 7"/>
    <w:basedOn w:val="Normal"/>
    <w:next w:val="Normal"/>
    <w:autoRedefine/>
    <w:uiPriority w:val="39"/>
    <w:unhideWhenUsed/>
    <w:rsid w:val="003F7128"/>
    <w:pPr>
      <w:spacing w:before="0" w:after="100" w:line="276" w:lineRule="auto"/>
      <w:ind w:left="1320"/>
      <w:jc w:val="left"/>
    </w:pPr>
    <w:rPr>
      <w:rFonts w:ascii="Calibri" w:hAnsi="Calibri"/>
      <w:szCs w:val="22"/>
    </w:rPr>
  </w:style>
  <w:style w:type="paragraph" w:styleId="TOC8">
    <w:name w:val="toc 8"/>
    <w:basedOn w:val="Normal"/>
    <w:next w:val="Normal"/>
    <w:autoRedefine/>
    <w:uiPriority w:val="39"/>
    <w:unhideWhenUsed/>
    <w:rsid w:val="003F7128"/>
    <w:pPr>
      <w:spacing w:before="0" w:after="100" w:line="276" w:lineRule="auto"/>
      <w:ind w:left="1540"/>
      <w:jc w:val="left"/>
    </w:pPr>
    <w:rPr>
      <w:rFonts w:ascii="Calibri" w:hAnsi="Calibri"/>
      <w:szCs w:val="22"/>
    </w:rPr>
  </w:style>
  <w:style w:type="paragraph" w:styleId="TOC9">
    <w:name w:val="toc 9"/>
    <w:basedOn w:val="Normal"/>
    <w:next w:val="Normal"/>
    <w:autoRedefine/>
    <w:uiPriority w:val="39"/>
    <w:unhideWhenUsed/>
    <w:rsid w:val="003F7128"/>
    <w:pPr>
      <w:spacing w:before="0" w:after="100" w:line="276" w:lineRule="auto"/>
      <w:ind w:left="1760"/>
      <w:jc w:val="left"/>
    </w:pPr>
    <w:rPr>
      <w:rFonts w:ascii="Calibri" w:hAnsi="Calibri"/>
      <w:szCs w:val="22"/>
    </w:rPr>
  </w:style>
  <w:style w:type="paragraph" w:customStyle="1" w:styleId="Bullet-Level3">
    <w:name w:val="Bullet - Level 3"/>
    <w:basedOn w:val="Normal"/>
    <w:next w:val="Normal"/>
    <w:rsid w:val="00B8228C"/>
    <w:pPr>
      <w:numPr>
        <w:numId w:val="8"/>
      </w:numPr>
      <w:spacing w:before="120" w:line="240" w:lineRule="atLeast"/>
      <w:jc w:val="left"/>
    </w:pPr>
    <w:rPr>
      <w:szCs w:val="20"/>
      <w:lang w:eastAsia="en-US"/>
    </w:rPr>
  </w:style>
  <w:style w:type="character" w:customStyle="1" w:styleId="ps341">
    <w:name w:val="ps341"/>
    <w:basedOn w:val="DefaultParagraphFont"/>
    <w:rsid w:val="00B8228C"/>
  </w:style>
  <w:style w:type="character" w:customStyle="1" w:styleId="FootnoteTextChar">
    <w:name w:val="Footnote Text Char"/>
    <w:link w:val="FootnoteText"/>
    <w:semiHidden/>
    <w:locked/>
    <w:rsid w:val="00756103"/>
    <w:rPr>
      <w:rFonts w:ascii="Arial" w:hAnsi="Arial"/>
    </w:rPr>
  </w:style>
  <w:style w:type="character" w:customStyle="1" w:styleId="Heading5Char">
    <w:name w:val="Heading 5 Char"/>
    <w:link w:val="Heading5"/>
    <w:rsid w:val="00ED3092"/>
    <w:rPr>
      <w:rFonts w:ascii="Arial" w:hAnsi="Arial"/>
      <w:b/>
      <w:bCs/>
      <w:iCs/>
      <w:sz w:val="22"/>
      <w:szCs w:val="26"/>
    </w:rPr>
  </w:style>
  <w:style w:type="paragraph" w:styleId="TableofFigures">
    <w:name w:val="table of figures"/>
    <w:basedOn w:val="Normal"/>
    <w:next w:val="Normal"/>
    <w:uiPriority w:val="99"/>
    <w:unhideWhenUsed/>
    <w:rsid w:val="00CC12E6"/>
  </w:style>
  <w:style w:type="paragraph" w:customStyle="1" w:styleId="1CMBULLET-LEVEL2">
    <w:name w:val="1CM BULLET - LEVEL 2"/>
    <w:basedOn w:val="Normal"/>
    <w:next w:val="Normal"/>
    <w:rsid w:val="00B52F94"/>
    <w:pPr>
      <w:numPr>
        <w:numId w:val="20"/>
      </w:numPr>
      <w:spacing w:before="60" w:after="60" w:line="260" w:lineRule="atLeast"/>
      <w:jc w:val="left"/>
    </w:pPr>
    <w:rPr>
      <w:rFonts w:ascii="Tw Cen MT Mi" w:hAnsi="Tw Cen MT Mi"/>
      <w:sz w:val="20"/>
      <w:szCs w:val="20"/>
      <w:lang w:val="en-GB" w:eastAsia="en-US"/>
    </w:rPr>
  </w:style>
  <w:style w:type="paragraph" w:customStyle="1" w:styleId="FootnoteArial10">
    <w:name w:val="Footnote + Arial 10"/>
    <w:basedOn w:val="FootnoteText"/>
    <w:qFormat/>
    <w:rsid w:val="0031262E"/>
    <w:pPr>
      <w:jc w:val="left"/>
    </w:pPr>
  </w:style>
  <w:style w:type="paragraph" w:styleId="PlainText">
    <w:name w:val="Plain Text"/>
    <w:basedOn w:val="Normal"/>
    <w:link w:val="PlainTextChar"/>
    <w:uiPriority w:val="99"/>
    <w:semiHidden/>
    <w:unhideWhenUsed/>
    <w:rsid w:val="00776C4F"/>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semiHidden/>
    <w:rsid w:val="00776C4F"/>
    <w:rPr>
      <w:rFonts w:ascii="Calibri" w:eastAsiaTheme="minorHAnsi" w:hAnsi="Calibri"/>
      <w:sz w:val="22"/>
      <w:szCs w:val="22"/>
      <w:lang w:eastAsia="en-US"/>
    </w:rPr>
  </w:style>
  <w:style w:type="paragraph" w:styleId="NoSpacing">
    <w:name w:val="No Spacing"/>
    <w:basedOn w:val="Normal"/>
    <w:uiPriority w:val="1"/>
    <w:qFormat/>
    <w:rsid w:val="00776C4F"/>
    <w:pPr>
      <w:spacing w:before="0"/>
      <w:jc w:val="left"/>
    </w:pPr>
    <w:rPr>
      <w:rFonts w:ascii="Calibri" w:eastAsiaTheme="minorHAnsi" w:hAnsi="Calibri"/>
      <w:szCs w:val="22"/>
      <w:lang w:eastAsia="en-US"/>
    </w:rPr>
  </w:style>
  <w:style w:type="character" w:customStyle="1" w:styleId="apple-style-span">
    <w:name w:val="apple-style-span"/>
    <w:basedOn w:val="DefaultParagraphFont"/>
    <w:rsid w:val="003D6DD1"/>
  </w:style>
  <w:style w:type="paragraph" w:customStyle="1" w:styleId="Style1">
    <w:name w:val="Style1"/>
    <w:basedOn w:val="Heading3"/>
    <w:qFormat/>
    <w:rsid w:val="00E22C83"/>
    <w:pPr>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7B9"/>
    <w:pPr>
      <w:spacing w:before="240"/>
      <w:jc w:val="both"/>
    </w:pPr>
    <w:rPr>
      <w:rFonts w:ascii="Arial" w:hAnsi="Arial"/>
      <w:sz w:val="22"/>
      <w:szCs w:val="24"/>
    </w:rPr>
  </w:style>
  <w:style w:type="paragraph" w:styleId="Heading1">
    <w:name w:val="heading 1"/>
    <w:basedOn w:val="Normal"/>
    <w:next w:val="Normal"/>
    <w:link w:val="Heading1Char"/>
    <w:qFormat/>
    <w:rsid w:val="000F78B0"/>
    <w:pPr>
      <w:keepNext/>
      <w:spacing w:after="60"/>
      <w:outlineLvl w:val="0"/>
    </w:pPr>
    <w:rPr>
      <w:rFonts w:ascii="Arial Black" w:hAnsi="Arial Black"/>
      <w:bCs/>
      <w:color w:val="17365D"/>
      <w:kern w:val="32"/>
      <w:sz w:val="36"/>
      <w:szCs w:val="32"/>
      <w:lang w:val="x-none" w:eastAsia="x-none"/>
    </w:rPr>
  </w:style>
  <w:style w:type="paragraph" w:styleId="Heading2">
    <w:name w:val="heading 2"/>
    <w:basedOn w:val="Normal"/>
    <w:next w:val="Normal"/>
    <w:link w:val="Heading2Char"/>
    <w:qFormat/>
    <w:rsid w:val="00FF42BA"/>
    <w:pPr>
      <w:keepNext/>
      <w:spacing w:before="360" w:after="60"/>
      <w:jc w:val="left"/>
      <w:outlineLvl w:val="1"/>
    </w:pPr>
    <w:rPr>
      <w:b/>
      <w:bCs/>
      <w:iCs/>
      <w:color w:val="365F91"/>
      <w:sz w:val="32"/>
      <w:szCs w:val="28"/>
      <w:lang w:val="x-none" w:eastAsia="x-none"/>
    </w:rPr>
  </w:style>
  <w:style w:type="paragraph" w:styleId="Heading3">
    <w:name w:val="heading 3"/>
    <w:basedOn w:val="Normal"/>
    <w:next w:val="Normal"/>
    <w:link w:val="Heading3Char"/>
    <w:qFormat/>
    <w:rsid w:val="00157112"/>
    <w:pPr>
      <w:keepNext/>
      <w:spacing w:before="360"/>
      <w:jc w:val="left"/>
      <w:outlineLvl w:val="2"/>
    </w:pPr>
    <w:rPr>
      <w:b/>
      <w:bCs/>
      <w:i/>
      <w:color w:val="365F91"/>
      <w:sz w:val="28"/>
      <w:szCs w:val="26"/>
      <w:lang w:val="x-none" w:eastAsia="x-none"/>
    </w:rPr>
  </w:style>
  <w:style w:type="paragraph" w:styleId="Heading4">
    <w:name w:val="heading 4"/>
    <w:basedOn w:val="Normal"/>
    <w:next w:val="Normal"/>
    <w:link w:val="Heading4Char"/>
    <w:qFormat/>
    <w:rsid w:val="0071770D"/>
    <w:pPr>
      <w:keepNext/>
      <w:spacing w:before="360" w:after="240"/>
      <w:outlineLvl w:val="3"/>
    </w:pPr>
    <w:rPr>
      <w:b/>
      <w:bCs/>
      <w:sz w:val="24"/>
      <w:szCs w:val="28"/>
      <w:lang w:val="x-none" w:eastAsia="x-none"/>
    </w:rPr>
  </w:style>
  <w:style w:type="paragraph" w:styleId="Heading5">
    <w:name w:val="heading 5"/>
    <w:basedOn w:val="Normal"/>
    <w:next w:val="Normal"/>
    <w:link w:val="Heading5Char"/>
    <w:qFormat/>
    <w:rsid w:val="00091DA9"/>
    <w:pPr>
      <w:keepNext/>
      <w:outlineLvl w:val="4"/>
    </w:pPr>
    <w:rPr>
      <w:b/>
      <w:bCs/>
      <w:iCs/>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356"/>
    <w:rPr>
      <w:rFonts w:ascii="Tahoma" w:hAnsi="Tahoma" w:cs="Tahoma"/>
      <w:sz w:val="16"/>
      <w:szCs w:val="16"/>
    </w:rPr>
  </w:style>
  <w:style w:type="table" w:styleId="TableGrid">
    <w:name w:val="Table Grid"/>
    <w:basedOn w:val="TableNormal"/>
    <w:rsid w:val="00745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756103"/>
    <w:pPr>
      <w:tabs>
        <w:tab w:val="left" w:pos="284"/>
      </w:tabs>
      <w:spacing w:before="120"/>
      <w:ind w:left="284" w:hanging="284"/>
    </w:pPr>
    <w:rPr>
      <w:sz w:val="20"/>
      <w:szCs w:val="20"/>
      <w:lang w:val="x-none" w:eastAsia="x-none"/>
    </w:rPr>
  </w:style>
  <w:style w:type="character" w:styleId="FootnoteReference">
    <w:name w:val="footnote reference"/>
    <w:semiHidden/>
    <w:rsid w:val="00F65F91"/>
    <w:rPr>
      <w:vertAlign w:val="superscript"/>
    </w:rPr>
  </w:style>
  <w:style w:type="character" w:styleId="CommentReference">
    <w:name w:val="annotation reference"/>
    <w:uiPriority w:val="99"/>
    <w:semiHidden/>
    <w:rsid w:val="009F250E"/>
    <w:rPr>
      <w:sz w:val="16"/>
      <w:szCs w:val="16"/>
    </w:rPr>
  </w:style>
  <w:style w:type="paragraph" w:styleId="CommentText">
    <w:name w:val="annotation text"/>
    <w:basedOn w:val="Normal"/>
    <w:link w:val="CommentTextChar"/>
    <w:uiPriority w:val="99"/>
    <w:semiHidden/>
    <w:rsid w:val="009F250E"/>
    <w:rPr>
      <w:sz w:val="20"/>
      <w:szCs w:val="20"/>
      <w:lang w:val="x-none" w:eastAsia="x-none"/>
    </w:rPr>
  </w:style>
  <w:style w:type="paragraph" w:styleId="CommentSubject">
    <w:name w:val="annotation subject"/>
    <w:basedOn w:val="CommentText"/>
    <w:next w:val="CommentText"/>
    <w:semiHidden/>
    <w:rsid w:val="009F250E"/>
    <w:rPr>
      <w:b/>
      <w:bCs/>
    </w:rPr>
  </w:style>
  <w:style w:type="paragraph" w:customStyle="1" w:styleId="Default">
    <w:name w:val="Default"/>
    <w:rsid w:val="00CB218B"/>
    <w:pPr>
      <w:autoSpaceDE w:val="0"/>
      <w:autoSpaceDN w:val="0"/>
      <w:adjustRightInd w:val="0"/>
    </w:pPr>
    <w:rPr>
      <w:rFonts w:ascii="Arial" w:hAnsi="Arial" w:cs="Arial"/>
      <w:color w:val="000000"/>
      <w:sz w:val="24"/>
      <w:szCs w:val="24"/>
    </w:rPr>
  </w:style>
  <w:style w:type="paragraph" w:customStyle="1" w:styleId="Pa10">
    <w:name w:val="Pa10"/>
    <w:basedOn w:val="Default"/>
    <w:next w:val="Default"/>
    <w:rsid w:val="00BC0AF0"/>
    <w:pPr>
      <w:spacing w:line="281" w:lineRule="atLeast"/>
    </w:pPr>
    <w:rPr>
      <w:rFonts w:ascii="UPBLOX+Interstate-LightCondense" w:hAnsi="UPBLOX+Interstate-LightCondense" w:cs="Times New Roman"/>
      <w:color w:val="auto"/>
    </w:rPr>
  </w:style>
  <w:style w:type="paragraph" w:customStyle="1" w:styleId="Pa14">
    <w:name w:val="Pa14"/>
    <w:basedOn w:val="Default"/>
    <w:next w:val="Default"/>
    <w:rsid w:val="00BC0AF0"/>
    <w:pPr>
      <w:spacing w:after="340" w:line="281" w:lineRule="atLeast"/>
    </w:pPr>
    <w:rPr>
      <w:rFonts w:ascii="UPBLOX+Interstate-LightCondense" w:hAnsi="UPBLOX+Interstate-LightCondense" w:cs="Times New Roman"/>
      <w:color w:val="auto"/>
    </w:rPr>
  </w:style>
  <w:style w:type="character" w:styleId="Hyperlink">
    <w:name w:val="Hyperlink"/>
    <w:uiPriority w:val="99"/>
    <w:rsid w:val="000E3850"/>
    <w:rPr>
      <w:color w:val="0000FF"/>
      <w:u w:val="single"/>
    </w:rPr>
  </w:style>
  <w:style w:type="paragraph" w:customStyle="1" w:styleId="NormalWeb3">
    <w:name w:val="Normal (Web)3"/>
    <w:basedOn w:val="Normal"/>
    <w:rsid w:val="00E7560D"/>
    <w:pPr>
      <w:spacing w:before="48" w:after="240"/>
    </w:pPr>
  </w:style>
  <w:style w:type="paragraph" w:styleId="DocumentMap">
    <w:name w:val="Document Map"/>
    <w:basedOn w:val="Normal"/>
    <w:semiHidden/>
    <w:rsid w:val="00C5478E"/>
    <w:pPr>
      <w:shd w:val="clear" w:color="auto" w:fill="000080"/>
    </w:pPr>
    <w:rPr>
      <w:rFonts w:ascii="Tahoma" w:hAnsi="Tahoma" w:cs="Tahoma"/>
    </w:rPr>
  </w:style>
  <w:style w:type="paragraph" w:styleId="NormalWeb">
    <w:name w:val="Normal (Web)"/>
    <w:basedOn w:val="Normal"/>
    <w:uiPriority w:val="99"/>
    <w:rsid w:val="00DB772C"/>
    <w:pPr>
      <w:spacing w:before="100" w:beforeAutospacing="1" w:after="100" w:afterAutospacing="1"/>
    </w:pPr>
  </w:style>
  <w:style w:type="paragraph" w:customStyle="1" w:styleId="NormalWeb1">
    <w:name w:val="Normal (Web)1"/>
    <w:basedOn w:val="Normal"/>
    <w:rsid w:val="00DB772C"/>
  </w:style>
  <w:style w:type="paragraph" w:customStyle="1" w:styleId="1">
    <w:name w:val="1"/>
    <w:basedOn w:val="Normal"/>
    <w:rsid w:val="008E4486"/>
    <w:pPr>
      <w:spacing w:after="160" w:line="240" w:lineRule="exact"/>
    </w:pPr>
    <w:rPr>
      <w:rFonts w:ascii="Verdana" w:hAnsi="Verdana"/>
      <w:sz w:val="20"/>
      <w:szCs w:val="20"/>
      <w:lang w:val="en-US" w:eastAsia="en-US"/>
    </w:rPr>
  </w:style>
  <w:style w:type="character" w:styleId="Strong">
    <w:name w:val="Strong"/>
    <w:uiPriority w:val="22"/>
    <w:qFormat/>
    <w:rsid w:val="00261DD1"/>
    <w:rPr>
      <w:b/>
      <w:bCs/>
    </w:rPr>
  </w:style>
  <w:style w:type="character" w:styleId="Emphasis">
    <w:name w:val="Emphasis"/>
    <w:uiPriority w:val="20"/>
    <w:qFormat/>
    <w:rsid w:val="00261DD1"/>
    <w:rPr>
      <w:i/>
      <w:iCs/>
    </w:rPr>
  </w:style>
  <w:style w:type="character" w:customStyle="1" w:styleId="macron2">
    <w:name w:val="macron2"/>
    <w:rsid w:val="00261DD1"/>
    <w:rPr>
      <w:rFonts w:ascii="Arial" w:hAnsi="Arial" w:cs="Arial" w:hint="default"/>
    </w:rPr>
  </w:style>
  <w:style w:type="character" w:customStyle="1" w:styleId="text301">
    <w:name w:val="text301"/>
    <w:rsid w:val="00261DD1"/>
    <w:rPr>
      <w:rFonts w:ascii="Arial" w:hAnsi="Arial" w:cs="Arial" w:hint="default"/>
      <w:strike w:val="0"/>
      <w:dstrike w:val="0"/>
      <w:color w:val="666666"/>
      <w:sz w:val="17"/>
      <w:szCs w:val="17"/>
      <w:u w:val="none"/>
      <w:effect w:val="none"/>
    </w:rPr>
  </w:style>
  <w:style w:type="paragraph" w:styleId="Footer">
    <w:name w:val="footer"/>
    <w:basedOn w:val="Normal"/>
    <w:link w:val="FooterChar"/>
    <w:rsid w:val="00300D67"/>
    <w:pPr>
      <w:tabs>
        <w:tab w:val="center" w:pos="4153"/>
        <w:tab w:val="right" w:pos="8306"/>
      </w:tabs>
    </w:pPr>
    <w:rPr>
      <w:lang w:val="x-none" w:eastAsia="x-none"/>
    </w:rPr>
  </w:style>
  <w:style w:type="character" w:styleId="PageNumber">
    <w:name w:val="page number"/>
    <w:basedOn w:val="DefaultParagraphFont"/>
    <w:rsid w:val="00300D67"/>
  </w:style>
  <w:style w:type="paragraph" w:styleId="TOC1">
    <w:name w:val="toc 1"/>
    <w:basedOn w:val="Normal"/>
    <w:next w:val="Normal"/>
    <w:autoRedefine/>
    <w:uiPriority w:val="39"/>
    <w:rsid w:val="00E14C21"/>
    <w:pPr>
      <w:tabs>
        <w:tab w:val="right" w:leader="dot" w:pos="9072"/>
      </w:tabs>
      <w:jc w:val="left"/>
    </w:pPr>
    <w:rPr>
      <w:b/>
      <w:szCs w:val="28"/>
    </w:rPr>
  </w:style>
  <w:style w:type="paragraph" w:styleId="TOC2">
    <w:name w:val="toc 2"/>
    <w:basedOn w:val="Normal"/>
    <w:next w:val="Normal"/>
    <w:autoRedefine/>
    <w:uiPriority w:val="39"/>
    <w:rsid w:val="00E14C21"/>
    <w:pPr>
      <w:tabs>
        <w:tab w:val="right" w:leader="dot" w:pos="9072"/>
      </w:tabs>
      <w:spacing w:before="120"/>
      <w:ind w:left="284"/>
      <w:jc w:val="left"/>
    </w:pPr>
    <w:rPr>
      <w:b/>
      <w:i/>
      <w:noProof/>
      <w:szCs w:val="22"/>
    </w:rPr>
  </w:style>
  <w:style w:type="paragraph" w:customStyle="1" w:styleId="CharChar">
    <w:name w:val="Char Char"/>
    <w:basedOn w:val="Normal"/>
    <w:rsid w:val="00852904"/>
    <w:pPr>
      <w:spacing w:after="160" w:line="240" w:lineRule="exact"/>
    </w:pPr>
    <w:rPr>
      <w:rFonts w:ascii="Verdana" w:hAnsi="Verdana"/>
      <w:sz w:val="20"/>
      <w:szCs w:val="20"/>
      <w:lang w:eastAsia="en-US"/>
    </w:rPr>
  </w:style>
  <w:style w:type="paragraph" w:styleId="TOC3">
    <w:name w:val="toc 3"/>
    <w:basedOn w:val="Normal"/>
    <w:next w:val="Normal"/>
    <w:autoRedefine/>
    <w:uiPriority w:val="39"/>
    <w:rsid w:val="00336D19"/>
    <w:pPr>
      <w:tabs>
        <w:tab w:val="left" w:pos="880"/>
        <w:tab w:val="right" w:leader="dot" w:pos="9072"/>
      </w:tabs>
      <w:spacing w:before="60"/>
      <w:ind w:left="442"/>
      <w:jc w:val="left"/>
    </w:pPr>
    <w:rPr>
      <w:noProof/>
    </w:rPr>
  </w:style>
  <w:style w:type="paragraph" w:styleId="Header">
    <w:name w:val="header"/>
    <w:basedOn w:val="Normal"/>
    <w:link w:val="HeaderChar"/>
    <w:uiPriority w:val="99"/>
    <w:rsid w:val="009A57B2"/>
    <w:pPr>
      <w:tabs>
        <w:tab w:val="center" w:pos="4153"/>
        <w:tab w:val="right" w:pos="8306"/>
      </w:tabs>
    </w:pPr>
    <w:rPr>
      <w:lang w:val="x-none" w:eastAsia="x-none"/>
    </w:rPr>
  </w:style>
  <w:style w:type="paragraph" w:styleId="TOC4">
    <w:name w:val="toc 4"/>
    <w:basedOn w:val="Normal"/>
    <w:next w:val="Normal"/>
    <w:autoRedefine/>
    <w:uiPriority w:val="39"/>
    <w:rsid w:val="00910638"/>
    <w:pPr>
      <w:spacing w:before="60"/>
      <w:ind w:left="658"/>
    </w:pPr>
  </w:style>
  <w:style w:type="paragraph" w:styleId="TOC5">
    <w:name w:val="toc 5"/>
    <w:basedOn w:val="Normal"/>
    <w:next w:val="Normal"/>
    <w:autoRedefine/>
    <w:uiPriority w:val="39"/>
    <w:rsid w:val="00091DA9"/>
    <w:pPr>
      <w:ind w:left="880"/>
    </w:pPr>
  </w:style>
  <w:style w:type="character" w:customStyle="1" w:styleId="EmailStyle441">
    <w:name w:val="EmailStyle441"/>
    <w:semiHidden/>
    <w:rsid w:val="00BF64A3"/>
    <w:rPr>
      <w:rFonts w:ascii="Arial" w:hAnsi="Arial" w:cs="Arial"/>
      <w:color w:val="000080"/>
      <w:sz w:val="20"/>
      <w:szCs w:val="20"/>
    </w:rPr>
  </w:style>
  <w:style w:type="paragraph" w:customStyle="1" w:styleId="Pa0">
    <w:name w:val="Pa0"/>
    <w:basedOn w:val="Default"/>
    <w:next w:val="Default"/>
    <w:rsid w:val="004F6AAC"/>
    <w:pPr>
      <w:spacing w:line="171" w:lineRule="atLeast"/>
    </w:pPr>
    <w:rPr>
      <w:rFonts w:ascii="MGalliardRoman" w:hAnsi="MGalliardRoman" w:cs="Times New Roman"/>
      <w:color w:val="auto"/>
    </w:rPr>
  </w:style>
  <w:style w:type="paragraph" w:styleId="BodyTextIndent">
    <w:name w:val="Body Text Indent"/>
    <w:basedOn w:val="Normal"/>
    <w:link w:val="BodyTextIndentChar"/>
    <w:rsid w:val="00E81010"/>
    <w:pPr>
      <w:ind w:left="360" w:hanging="360"/>
    </w:pPr>
    <w:rPr>
      <w:rFonts w:ascii="CG Times (WN)" w:hAnsi="CG Times (WN)"/>
      <w:szCs w:val="20"/>
      <w:lang w:val="en-AU" w:eastAsia="en-US"/>
    </w:rPr>
  </w:style>
  <w:style w:type="paragraph" w:customStyle="1" w:styleId="CharChar1">
    <w:name w:val="Char Char1"/>
    <w:basedOn w:val="Normal"/>
    <w:rsid w:val="00DA4853"/>
    <w:pPr>
      <w:spacing w:after="160" w:line="240" w:lineRule="exact"/>
    </w:pPr>
    <w:rPr>
      <w:rFonts w:ascii="Verdana" w:hAnsi="Verdana"/>
      <w:sz w:val="20"/>
      <w:szCs w:val="20"/>
      <w:lang w:val="en-US" w:eastAsia="en-US"/>
    </w:rPr>
  </w:style>
  <w:style w:type="paragraph" w:customStyle="1" w:styleId="CharCharCharCharChar1">
    <w:name w:val="Char Char Char Char Char1"/>
    <w:basedOn w:val="Normal"/>
    <w:rsid w:val="00A87BD6"/>
    <w:pPr>
      <w:spacing w:after="160" w:line="240" w:lineRule="exact"/>
    </w:pPr>
    <w:rPr>
      <w:rFonts w:ascii="Verdana" w:hAnsi="Verdana"/>
      <w:sz w:val="20"/>
      <w:szCs w:val="20"/>
      <w:lang w:val="en-US" w:eastAsia="en-US"/>
    </w:rPr>
  </w:style>
  <w:style w:type="paragraph" w:customStyle="1" w:styleId="ANZBodyText">
    <w:name w:val="ANZ Body Text"/>
    <w:basedOn w:val="Normal"/>
    <w:link w:val="ANZBodyTextChar"/>
    <w:qFormat/>
    <w:rsid w:val="006737F3"/>
    <w:pPr>
      <w:spacing w:after="240" w:line="260" w:lineRule="atLeast"/>
    </w:pPr>
    <w:rPr>
      <w:rFonts w:ascii="Tw Cen MT Mi" w:hAnsi="Tw Cen MT Mi"/>
      <w:sz w:val="24"/>
      <w:szCs w:val="22"/>
      <w:lang w:eastAsia="en-GB"/>
    </w:rPr>
  </w:style>
  <w:style w:type="character" w:customStyle="1" w:styleId="ANZBodyTextChar">
    <w:name w:val="ANZ Body Text Char"/>
    <w:link w:val="ANZBodyText"/>
    <w:rsid w:val="006737F3"/>
    <w:rPr>
      <w:rFonts w:ascii="Tw Cen MT Mi" w:hAnsi="Tw Cen MT Mi"/>
      <w:sz w:val="24"/>
      <w:szCs w:val="22"/>
      <w:lang w:val="en-NZ" w:eastAsia="en-GB" w:bidi="ar-SA"/>
    </w:rPr>
  </w:style>
  <w:style w:type="paragraph" w:customStyle="1" w:styleId="ANZBulletLevel1">
    <w:name w:val="ANZ Bullet Level 1"/>
    <w:basedOn w:val="ANZBodyText"/>
    <w:qFormat/>
    <w:rsid w:val="006737F3"/>
    <w:pPr>
      <w:numPr>
        <w:numId w:val="1"/>
      </w:numPr>
      <w:tabs>
        <w:tab w:val="clear" w:pos="851"/>
        <w:tab w:val="num" w:pos="360"/>
        <w:tab w:val="num" w:pos="720"/>
      </w:tabs>
      <w:ind w:left="0" w:firstLine="0"/>
    </w:pPr>
  </w:style>
  <w:style w:type="paragraph" w:customStyle="1" w:styleId="ANZBulletLevel2">
    <w:name w:val="ANZ Bullet Level 2"/>
    <w:basedOn w:val="ANZBulletLevel1"/>
    <w:qFormat/>
    <w:rsid w:val="006737F3"/>
    <w:pPr>
      <w:numPr>
        <w:numId w:val="2"/>
      </w:numPr>
      <w:tabs>
        <w:tab w:val="clear" w:pos="851"/>
        <w:tab w:val="clear" w:pos="1701"/>
        <w:tab w:val="num" w:pos="360"/>
        <w:tab w:val="num" w:pos="720"/>
        <w:tab w:val="num" w:pos="1287"/>
      </w:tabs>
      <w:ind w:left="851" w:hanging="851"/>
    </w:pPr>
  </w:style>
  <w:style w:type="paragraph" w:customStyle="1" w:styleId="ANZBulletLevel3">
    <w:name w:val="ANZ Bullet Level 3"/>
    <w:basedOn w:val="ANZBulletLevel1"/>
    <w:qFormat/>
    <w:rsid w:val="006737F3"/>
    <w:pPr>
      <w:numPr>
        <w:numId w:val="3"/>
      </w:numPr>
      <w:tabs>
        <w:tab w:val="clear" w:pos="851"/>
        <w:tab w:val="clear" w:pos="2552"/>
        <w:tab w:val="num" w:pos="360"/>
        <w:tab w:val="num" w:pos="720"/>
        <w:tab w:val="num" w:pos="1287"/>
      </w:tabs>
      <w:ind w:left="851" w:hanging="567"/>
    </w:pPr>
  </w:style>
  <w:style w:type="paragraph" w:customStyle="1" w:styleId="ANZHeading-L1">
    <w:name w:val="ANZ Heading - L1"/>
    <w:basedOn w:val="Normal"/>
    <w:next w:val="ANZBodyText"/>
    <w:qFormat/>
    <w:rsid w:val="006737F3"/>
    <w:pPr>
      <w:spacing w:after="240" w:line="260" w:lineRule="atLeast"/>
    </w:pPr>
    <w:rPr>
      <w:rFonts w:ascii="Tw Cen MT Mi" w:hAnsi="Tw Cen MT Mi"/>
      <w:b/>
      <w:kern w:val="28"/>
      <w:sz w:val="24"/>
      <w:szCs w:val="20"/>
      <w:lang w:eastAsia="en-US"/>
    </w:rPr>
  </w:style>
  <w:style w:type="paragraph" w:customStyle="1" w:styleId="labelledlabel-para">
    <w:name w:val="labelled label-para"/>
    <w:basedOn w:val="Normal"/>
    <w:rsid w:val="00332192"/>
    <w:rPr>
      <w:rFonts w:ascii="Times New Roman" w:hAnsi="Times New Roman"/>
      <w:sz w:val="24"/>
    </w:rPr>
  </w:style>
  <w:style w:type="paragraph" w:customStyle="1" w:styleId="NormalWeb4">
    <w:name w:val="Normal (Web)4"/>
    <w:basedOn w:val="Normal"/>
    <w:rsid w:val="00DE3F91"/>
    <w:pPr>
      <w:spacing w:before="100" w:beforeAutospacing="1" w:after="120" w:line="384" w:lineRule="atLeast"/>
    </w:pPr>
    <w:rPr>
      <w:rFonts w:ascii="Times New Roman" w:hAnsi="Times New Roman"/>
      <w:sz w:val="24"/>
    </w:rPr>
  </w:style>
  <w:style w:type="paragraph" w:styleId="ListBullet">
    <w:name w:val="List Bullet"/>
    <w:basedOn w:val="Normal"/>
    <w:autoRedefine/>
    <w:rsid w:val="00A31636"/>
    <w:pPr>
      <w:numPr>
        <w:numId w:val="4"/>
      </w:numPr>
    </w:pPr>
    <w:rPr>
      <w:rFonts w:ascii="Times New Roman" w:hAnsi="Times New Roman"/>
      <w:sz w:val="24"/>
      <w:lang w:val="en-AU" w:eastAsia="en-US"/>
    </w:rPr>
  </w:style>
  <w:style w:type="paragraph" w:customStyle="1" w:styleId="Formtext">
    <w:name w:val="Form text"/>
    <w:rsid w:val="00DD52EE"/>
    <w:pPr>
      <w:spacing w:before="120" w:after="120" w:line="240" w:lineRule="exact"/>
      <w:ind w:left="119" w:right="119"/>
    </w:pPr>
    <w:rPr>
      <w:rFonts w:ascii="Arial" w:hAnsi="Arial" w:cs="Arial"/>
      <w:sz w:val="18"/>
      <w:szCs w:val="18"/>
      <w:lang w:eastAsia="en-US"/>
    </w:rPr>
  </w:style>
  <w:style w:type="character" w:styleId="FollowedHyperlink">
    <w:name w:val="FollowedHyperlink"/>
    <w:rsid w:val="00DD52EE"/>
    <w:rPr>
      <w:color w:val="800080"/>
      <w:u w:val="single"/>
    </w:rPr>
  </w:style>
  <w:style w:type="paragraph" w:customStyle="1" w:styleId="formtextsubhd">
    <w:name w:val="formtextsubhd"/>
    <w:basedOn w:val="Normal"/>
    <w:rsid w:val="00DD52EE"/>
    <w:pPr>
      <w:spacing w:before="120" w:after="120" w:line="240" w:lineRule="atLeast"/>
      <w:ind w:left="119" w:right="119"/>
    </w:pPr>
    <w:rPr>
      <w:rFonts w:cs="Arial"/>
      <w:b/>
      <w:bCs/>
      <w:sz w:val="18"/>
      <w:szCs w:val="18"/>
    </w:rPr>
  </w:style>
  <w:style w:type="paragraph" w:customStyle="1" w:styleId="xl68">
    <w:name w:val="xl68"/>
    <w:basedOn w:val="Normal"/>
    <w:rsid w:val="00862B93"/>
    <w:pPr>
      <w:spacing w:before="100" w:beforeAutospacing="1" w:after="100" w:afterAutospacing="1"/>
    </w:pPr>
    <w:rPr>
      <w:rFonts w:cs="Arial"/>
      <w:sz w:val="24"/>
    </w:rPr>
  </w:style>
  <w:style w:type="paragraph" w:customStyle="1" w:styleId="xl70">
    <w:name w:val="xl70"/>
    <w:basedOn w:val="Normal"/>
    <w:rsid w:val="00862B93"/>
    <w:pPr>
      <w:spacing w:before="100" w:beforeAutospacing="1" w:after="100" w:afterAutospacing="1"/>
      <w:jc w:val="right"/>
    </w:pPr>
    <w:rPr>
      <w:rFonts w:cs="Arial"/>
      <w:b/>
      <w:bCs/>
      <w:sz w:val="24"/>
    </w:rPr>
  </w:style>
  <w:style w:type="paragraph" w:customStyle="1" w:styleId="xl71">
    <w:name w:val="xl71"/>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72">
    <w:name w:val="xl72"/>
    <w:basedOn w:val="Normal"/>
    <w:rsid w:val="00862B93"/>
    <w:pPr>
      <w:spacing w:before="100" w:beforeAutospacing="1" w:after="100" w:afterAutospacing="1"/>
    </w:pPr>
    <w:rPr>
      <w:rFonts w:cs="Arial"/>
      <w:sz w:val="24"/>
    </w:rPr>
  </w:style>
  <w:style w:type="paragraph" w:customStyle="1" w:styleId="xl73">
    <w:name w:val="xl73"/>
    <w:basedOn w:val="Normal"/>
    <w:rsid w:val="00862B93"/>
    <w:pPr>
      <w:pBdr>
        <w:top w:val="single" w:sz="4" w:space="0" w:color="auto"/>
        <w:bottom w:val="single" w:sz="4" w:space="0" w:color="auto"/>
      </w:pBdr>
      <w:spacing w:before="100" w:beforeAutospacing="1" w:after="100" w:afterAutospacing="1"/>
    </w:pPr>
    <w:rPr>
      <w:rFonts w:cs="Arial"/>
      <w:sz w:val="24"/>
    </w:rPr>
  </w:style>
  <w:style w:type="paragraph" w:customStyle="1" w:styleId="xl74">
    <w:name w:val="xl74"/>
    <w:basedOn w:val="Normal"/>
    <w:rsid w:val="00862B93"/>
    <w:pPr>
      <w:spacing w:before="100" w:beforeAutospacing="1" w:after="100" w:afterAutospacing="1"/>
    </w:pPr>
    <w:rPr>
      <w:rFonts w:cs="Arial"/>
      <w:sz w:val="24"/>
    </w:rPr>
  </w:style>
  <w:style w:type="paragraph" w:customStyle="1" w:styleId="xl76">
    <w:name w:val="xl76"/>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al"/>
    <w:rsid w:val="00862B93"/>
    <w:pPr>
      <w:pBdr>
        <w:top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79">
    <w:name w:val="xl79"/>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0">
    <w:name w:val="xl80"/>
    <w:basedOn w:val="Normal"/>
    <w:rsid w:val="00862B93"/>
    <w:pPr>
      <w:spacing w:before="100" w:beforeAutospacing="1" w:after="100" w:afterAutospacing="1"/>
      <w:jc w:val="right"/>
    </w:pPr>
    <w:rPr>
      <w:rFonts w:ascii="Times New Roman" w:hAnsi="Times New Roman"/>
      <w:b/>
      <w:bCs/>
      <w:sz w:val="16"/>
      <w:szCs w:val="16"/>
    </w:rPr>
  </w:style>
  <w:style w:type="paragraph" w:customStyle="1" w:styleId="xl81">
    <w:name w:val="xl81"/>
    <w:basedOn w:val="Normal"/>
    <w:rsid w:val="00862B93"/>
    <w:pPr>
      <w:spacing w:before="100" w:beforeAutospacing="1" w:after="100" w:afterAutospacing="1"/>
    </w:pPr>
    <w:rPr>
      <w:rFonts w:cs="Arial"/>
      <w:b/>
      <w:bCs/>
      <w:sz w:val="24"/>
    </w:rPr>
  </w:style>
  <w:style w:type="paragraph" w:customStyle="1" w:styleId="xl82">
    <w:name w:val="xl82"/>
    <w:basedOn w:val="Normal"/>
    <w:rsid w:val="00862B93"/>
    <w:pPr>
      <w:spacing w:before="100" w:beforeAutospacing="1" w:after="100" w:afterAutospacing="1"/>
    </w:pPr>
    <w:rPr>
      <w:rFonts w:cs="Arial"/>
      <w:b/>
      <w:bCs/>
      <w:sz w:val="24"/>
    </w:rPr>
  </w:style>
  <w:style w:type="paragraph" w:customStyle="1" w:styleId="xl83">
    <w:name w:val="xl83"/>
    <w:basedOn w:val="Normal"/>
    <w:rsid w:val="00862B93"/>
    <w:pPr>
      <w:pBdr>
        <w:top w:val="single" w:sz="4" w:space="0" w:color="auto"/>
        <w:bottom w:val="double" w:sz="6" w:space="0" w:color="auto"/>
      </w:pBdr>
      <w:spacing w:before="100" w:beforeAutospacing="1" w:after="100" w:afterAutospacing="1"/>
    </w:pPr>
    <w:rPr>
      <w:rFonts w:ascii="Times New Roman" w:hAnsi="Times New Roman"/>
      <w:b/>
      <w:bCs/>
      <w:sz w:val="24"/>
    </w:rPr>
  </w:style>
  <w:style w:type="paragraph" w:customStyle="1" w:styleId="xl84">
    <w:name w:val="xl84"/>
    <w:basedOn w:val="Normal"/>
    <w:rsid w:val="00862B93"/>
    <w:pPr>
      <w:spacing w:before="100" w:beforeAutospacing="1" w:after="100" w:afterAutospacing="1"/>
      <w:ind w:firstLineChars="100" w:firstLine="100"/>
    </w:pPr>
    <w:rPr>
      <w:rFonts w:cs="Arial"/>
      <w:sz w:val="24"/>
    </w:rPr>
  </w:style>
  <w:style w:type="paragraph" w:customStyle="1" w:styleId="xl85">
    <w:name w:val="xl85"/>
    <w:basedOn w:val="Normal"/>
    <w:rsid w:val="00862B93"/>
    <w:pPr>
      <w:spacing w:before="100" w:beforeAutospacing="1" w:after="100" w:afterAutospacing="1"/>
      <w:ind w:firstLineChars="100" w:firstLine="100"/>
    </w:pPr>
    <w:rPr>
      <w:rFonts w:cs="Arial"/>
      <w:sz w:val="24"/>
    </w:rPr>
  </w:style>
  <w:style w:type="paragraph" w:customStyle="1" w:styleId="xl86">
    <w:name w:val="xl86"/>
    <w:basedOn w:val="Normal"/>
    <w:rsid w:val="00862B93"/>
    <w:pPr>
      <w:spacing w:before="100" w:beforeAutospacing="1" w:after="100" w:afterAutospacing="1"/>
      <w:ind w:firstLineChars="100" w:firstLine="100"/>
    </w:pPr>
    <w:rPr>
      <w:rFonts w:cs="Arial"/>
      <w:sz w:val="24"/>
    </w:rPr>
  </w:style>
  <w:style w:type="paragraph" w:customStyle="1" w:styleId="xl87">
    <w:name w:val="xl87"/>
    <w:basedOn w:val="Normal"/>
    <w:rsid w:val="00862B93"/>
    <w:pPr>
      <w:pBdr>
        <w:top w:val="single" w:sz="4" w:space="0" w:color="auto"/>
        <w:bottom w:val="single" w:sz="4" w:space="0" w:color="auto"/>
      </w:pBdr>
      <w:spacing w:before="100" w:beforeAutospacing="1" w:after="100" w:afterAutospacing="1"/>
    </w:pPr>
    <w:rPr>
      <w:rFonts w:cs="Arial"/>
      <w:b/>
      <w:bCs/>
      <w:sz w:val="24"/>
    </w:rPr>
  </w:style>
  <w:style w:type="paragraph" w:customStyle="1" w:styleId="xl88">
    <w:name w:val="xl88"/>
    <w:basedOn w:val="Normal"/>
    <w:rsid w:val="00862B93"/>
    <w:pPr>
      <w:spacing w:before="100" w:beforeAutospacing="1" w:after="100" w:afterAutospacing="1"/>
      <w:jc w:val="right"/>
    </w:pPr>
    <w:rPr>
      <w:rFonts w:cs="Arial"/>
      <w:b/>
      <w:bCs/>
      <w:sz w:val="24"/>
    </w:rPr>
  </w:style>
  <w:style w:type="paragraph" w:customStyle="1" w:styleId="xl89">
    <w:name w:val="xl89"/>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0">
    <w:name w:val="xl90"/>
    <w:basedOn w:val="Normal"/>
    <w:rsid w:val="00862B93"/>
    <w:pPr>
      <w:pBdr>
        <w:top w:val="single" w:sz="4" w:space="0" w:color="auto"/>
        <w:bottom w:val="double" w:sz="6" w:space="0" w:color="auto"/>
      </w:pBdr>
      <w:spacing w:before="100" w:beforeAutospacing="1" w:after="100" w:afterAutospacing="1"/>
    </w:pPr>
    <w:rPr>
      <w:rFonts w:cs="Arial"/>
      <w:b/>
      <w:bCs/>
      <w:sz w:val="24"/>
    </w:rPr>
  </w:style>
  <w:style w:type="paragraph" w:customStyle="1" w:styleId="xl91">
    <w:name w:val="xl91"/>
    <w:basedOn w:val="Normal"/>
    <w:rsid w:val="00862B93"/>
    <w:pPr>
      <w:spacing w:before="100" w:beforeAutospacing="1" w:after="100" w:afterAutospacing="1"/>
    </w:pPr>
    <w:rPr>
      <w:rFonts w:ascii="Times New Roman" w:hAnsi="Times New Roman"/>
      <w:b/>
      <w:bCs/>
      <w:sz w:val="24"/>
    </w:rPr>
  </w:style>
  <w:style w:type="paragraph" w:customStyle="1" w:styleId="xl92">
    <w:name w:val="xl92"/>
    <w:basedOn w:val="Normal"/>
    <w:rsid w:val="00862B93"/>
    <w:pPr>
      <w:spacing w:before="100" w:beforeAutospacing="1" w:after="100" w:afterAutospacing="1"/>
      <w:jc w:val="right"/>
    </w:pPr>
    <w:rPr>
      <w:rFonts w:ascii="Times New Roman" w:hAnsi="Times New Roman"/>
      <w:b/>
      <w:bCs/>
      <w:sz w:val="24"/>
    </w:rPr>
  </w:style>
  <w:style w:type="paragraph" w:customStyle="1" w:styleId="xl93">
    <w:name w:val="xl93"/>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4">
    <w:name w:val="xl94"/>
    <w:basedOn w:val="Normal"/>
    <w:rsid w:val="00862B93"/>
    <w:pPr>
      <w:spacing w:before="100" w:beforeAutospacing="1" w:after="100" w:afterAutospacing="1"/>
    </w:pPr>
    <w:rPr>
      <w:rFonts w:ascii="Times New Roman" w:hAnsi="Times New Roman"/>
      <w:color w:val="FF0000"/>
      <w:sz w:val="24"/>
    </w:rPr>
  </w:style>
  <w:style w:type="paragraph" w:customStyle="1" w:styleId="xl95">
    <w:name w:val="xl95"/>
    <w:basedOn w:val="Normal"/>
    <w:rsid w:val="00862B93"/>
    <w:pPr>
      <w:spacing w:before="100" w:beforeAutospacing="1" w:after="100" w:afterAutospacing="1"/>
      <w:jc w:val="right"/>
    </w:pPr>
    <w:rPr>
      <w:rFonts w:cs="Arial"/>
      <w:b/>
      <w:bCs/>
      <w:sz w:val="24"/>
    </w:rPr>
  </w:style>
  <w:style w:type="paragraph" w:customStyle="1" w:styleId="xl96">
    <w:name w:val="xl96"/>
    <w:basedOn w:val="Normal"/>
    <w:rsid w:val="00862B93"/>
    <w:pPr>
      <w:spacing w:before="100" w:beforeAutospacing="1" w:after="100" w:afterAutospacing="1"/>
      <w:jc w:val="right"/>
    </w:pPr>
    <w:rPr>
      <w:rFonts w:cs="Arial"/>
      <w:b/>
      <w:bCs/>
      <w:sz w:val="24"/>
    </w:rPr>
  </w:style>
  <w:style w:type="paragraph" w:customStyle="1" w:styleId="xl97">
    <w:name w:val="xl97"/>
    <w:basedOn w:val="Normal"/>
    <w:rsid w:val="00862B93"/>
    <w:pPr>
      <w:spacing w:before="100" w:beforeAutospacing="1" w:after="100" w:afterAutospacing="1"/>
      <w:jc w:val="right"/>
    </w:pPr>
    <w:rPr>
      <w:rFonts w:cs="Arial"/>
      <w:b/>
      <w:bCs/>
      <w:sz w:val="24"/>
    </w:rPr>
  </w:style>
  <w:style w:type="paragraph" w:customStyle="1" w:styleId="xl98">
    <w:name w:val="xl98"/>
    <w:basedOn w:val="Normal"/>
    <w:rsid w:val="00862B93"/>
    <w:pPr>
      <w:spacing w:before="100" w:beforeAutospacing="1" w:after="100" w:afterAutospacing="1"/>
      <w:jc w:val="right"/>
    </w:pPr>
    <w:rPr>
      <w:rFonts w:cs="Arial"/>
      <w:b/>
      <w:bCs/>
      <w:sz w:val="24"/>
    </w:rPr>
  </w:style>
  <w:style w:type="paragraph" w:customStyle="1" w:styleId="xl99">
    <w:name w:val="xl99"/>
    <w:basedOn w:val="Normal"/>
    <w:rsid w:val="00862B93"/>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intro">
    <w:name w:val="intro"/>
    <w:basedOn w:val="Normal"/>
    <w:rsid w:val="00DB27F5"/>
    <w:pPr>
      <w:spacing w:after="100" w:afterAutospacing="1" w:line="336" w:lineRule="atLeast"/>
    </w:pPr>
    <w:rPr>
      <w:rFonts w:ascii="Georgia" w:hAnsi="Georgia"/>
      <w:i/>
      <w:iCs/>
      <w:color w:val="778899"/>
      <w:sz w:val="21"/>
      <w:szCs w:val="21"/>
    </w:rPr>
  </w:style>
  <w:style w:type="paragraph" w:customStyle="1" w:styleId="Pa5">
    <w:name w:val="Pa5"/>
    <w:basedOn w:val="Default"/>
    <w:next w:val="Default"/>
    <w:rsid w:val="00E72C2B"/>
    <w:pPr>
      <w:spacing w:line="171" w:lineRule="atLeast"/>
    </w:pPr>
    <w:rPr>
      <w:rFonts w:ascii="MGalliardRoman" w:hAnsi="MGalliardRoman" w:cs="Times New Roman"/>
      <w:color w:val="auto"/>
    </w:rPr>
  </w:style>
  <w:style w:type="paragraph" w:customStyle="1" w:styleId="Bullet">
    <w:name w:val="Bullet"/>
    <w:basedOn w:val="Normal"/>
    <w:rsid w:val="009633D3"/>
    <w:pPr>
      <w:numPr>
        <w:numId w:val="6"/>
      </w:numPr>
      <w:spacing w:before="120"/>
    </w:pPr>
    <w:rPr>
      <w:lang w:eastAsia="en-US"/>
    </w:rPr>
  </w:style>
  <w:style w:type="paragraph" w:customStyle="1" w:styleId="Notebullet">
    <w:name w:val="Note bullet"/>
    <w:basedOn w:val="Normal"/>
    <w:autoRedefine/>
    <w:rsid w:val="00AD0687"/>
    <w:pPr>
      <w:tabs>
        <w:tab w:val="left" w:pos="709"/>
      </w:tabs>
      <w:spacing w:before="120"/>
    </w:pPr>
    <w:rPr>
      <w:sz w:val="20"/>
      <w:szCs w:val="22"/>
      <w:lang w:eastAsia="en-US"/>
    </w:rPr>
  </w:style>
  <w:style w:type="paragraph" w:styleId="ListParagraph">
    <w:name w:val="List Paragraph"/>
    <w:basedOn w:val="Normal"/>
    <w:uiPriority w:val="34"/>
    <w:qFormat/>
    <w:rsid w:val="002C160E"/>
    <w:pPr>
      <w:ind w:left="720"/>
    </w:pPr>
  </w:style>
  <w:style w:type="paragraph" w:styleId="Title">
    <w:name w:val="Title"/>
    <w:basedOn w:val="Heading1"/>
    <w:next w:val="Normal"/>
    <w:link w:val="TitleChar"/>
    <w:uiPriority w:val="10"/>
    <w:qFormat/>
    <w:rsid w:val="009B0F58"/>
    <w:pPr>
      <w:spacing w:before="0" w:after="0"/>
    </w:pPr>
    <w:rPr>
      <w:color w:val="244061"/>
      <w:szCs w:val="36"/>
    </w:rPr>
  </w:style>
  <w:style w:type="character" w:customStyle="1" w:styleId="TitleChar">
    <w:name w:val="Title Char"/>
    <w:link w:val="Title"/>
    <w:uiPriority w:val="10"/>
    <w:rsid w:val="009B0F58"/>
    <w:rPr>
      <w:rFonts w:ascii="Arial Black" w:hAnsi="Arial Black" w:cs="Arial"/>
      <w:bCs/>
      <w:color w:val="244061"/>
      <w:kern w:val="32"/>
      <w:sz w:val="36"/>
      <w:szCs w:val="36"/>
    </w:rPr>
  </w:style>
  <w:style w:type="paragraph" w:styleId="Revision">
    <w:name w:val="Revision"/>
    <w:hidden/>
    <w:uiPriority w:val="99"/>
    <w:semiHidden/>
    <w:rsid w:val="00646FF5"/>
    <w:rPr>
      <w:rFonts w:ascii="Arial" w:hAnsi="Arial"/>
      <w:sz w:val="22"/>
      <w:szCs w:val="24"/>
    </w:rPr>
  </w:style>
  <w:style w:type="character" w:customStyle="1" w:styleId="BodyTextIndentChar">
    <w:name w:val="Body Text Indent Char"/>
    <w:link w:val="BodyTextIndent"/>
    <w:rsid w:val="00D26EDE"/>
    <w:rPr>
      <w:rFonts w:ascii="CG Times (WN)" w:hAnsi="CG Times (WN)"/>
      <w:sz w:val="22"/>
      <w:lang w:val="en-AU" w:eastAsia="en-US"/>
    </w:rPr>
  </w:style>
  <w:style w:type="character" w:customStyle="1" w:styleId="CommentTextChar">
    <w:name w:val="Comment Text Char"/>
    <w:link w:val="CommentText"/>
    <w:uiPriority w:val="99"/>
    <w:semiHidden/>
    <w:rsid w:val="00D16DB4"/>
    <w:rPr>
      <w:rFonts w:ascii="Arial" w:hAnsi="Arial"/>
    </w:rPr>
  </w:style>
  <w:style w:type="character" w:customStyle="1" w:styleId="Heading1Char">
    <w:name w:val="Heading 1 Char"/>
    <w:link w:val="Heading1"/>
    <w:rsid w:val="000F78B0"/>
    <w:rPr>
      <w:rFonts w:ascii="Arial Black" w:hAnsi="Arial Black" w:cs="Arial"/>
      <w:bCs/>
      <w:color w:val="17365D"/>
      <w:kern w:val="32"/>
      <w:sz w:val="36"/>
      <w:szCs w:val="32"/>
    </w:rPr>
  </w:style>
  <w:style w:type="character" w:customStyle="1" w:styleId="Heading2Char">
    <w:name w:val="Heading 2 Char"/>
    <w:link w:val="Heading2"/>
    <w:rsid w:val="00FF42BA"/>
    <w:rPr>
      <w:rFonts w:ascii="Arial" w:hAnsi="Arial"/>
      <w:b/>
      <w:bCs/>
      <w:iCs/>
      <w:color w:val="365F91"/>
      <w:sz w:val="32"/>
      <w:szCs w:val="28"/>
      <w:lang w:val="x-none" w:eastAsia="x-none"/>
    </w:rPr>
  </w:style>
  <w:style w:type="character" w:customStyle="1" w:styleId="Heading3Char">
    <w:name w:val="Heading 3 Char"/>
    <w:link w:val="Heading3"/>
    <w:rsid w:val="00157112"/>
    <w:rPr>
      <w:rFonts w:ascii="Arial" w:hAnsi="Arial" w:cs="Arial"/>
      <w:b/>
      <w:bCs/>
      <w:i/>
      <w:color w:val="365F91"/>
      <w:sz w:val="28"/>
      <w:szCs w:val="26"/>
    </w:rPr>
  </w:style>
  <w:style w:type="character" w:customStyle="1" w:styleId="FooterChar">
    <w:name w:val="Footer Char"/>
    <w:link w:val="Footer"/>
    <w:rsid w:val="00661B41"/>
    <w:rPr>
      <w:rFonts w:ascii="Arial" w:hAnsi="Arial"/>
      <w:sz w:val="22"/>
      <w:szCs w:val="24"/>
    </w:rPr>
  </w:style>
  <w:style w:type="character" w:customStyle="1" w:styleId="HeaderChar">
    <w:name w:val="Header Char"/>
    <w:link w:val="Header"/>
    <w:uiPriority w:val="99"/>
    <w:rsid w:val="00661B41"/>
    <w:rPr>
      <w:rFonts w:ascii="Arial" w:hAnsi="Arial"/>
      <w:sz w:val="22"/>
      <w:szCs w:val="24"/>
    </w:rPr>
  </w:style>
  <w:style w:type="paragraph" w:customStyle="1" w:styleId="CharCharCharCharChar15">
    <w:name w:val="Char Char Char Char Char15"/>
    <w:basedOn w:val="Normal"/>
    <w:rsid w:val="006901EF"/>
    <w:pPr>
      <w:spacing w:after="160" w:line="240" w:lineRule="exact"/>
    </w:pPr>
    <w:rPr>
      <w:rFonts w:ascii="Verdana" w:hAnsi="Verdana"/>
      <w:sz w:val="20"/>
      <w:szCs w:val="20"/>
      <w:lang w:val="en-US" w:eastAsia="en-US"/>
    </w:rPr>
  </w:style>
  <w:style w:type="paragraph" w:customStyle="1" w:styleId="last-child">
    <w:name w:val="last-child"/>
    <w:basedOn w:val="Normal"/>
    <w:rsid w:val="00E529E1"/>
    <w:pPr>
      <w:spacing w:after="217"/>
    </w:pPr>
    <w:rPr>
      <w:rFonts w:ascii="Times New Roman" w:hAnsi="Times New Roman"/>
      <w:sz w:val="24"/>
    </w:rPr>
  </w:style>
  <w:style w:type="paragraph" w:customStyle="1" w:styleId="CharCharCharCharChar14">
    <w:name w:val="Char Char Char Char Char14"/>
    <w:basedOn w:val="Normal"/>
    <w:rsid w:val="00E96E3C"/>
    <w:pPr>
      <w:spacing w:after="160" w:line="240" w:lineRule="exact"/>
    </w:pPr>
    <w:rPr>
      <w:rFonts w:ascii="Verdana" w:hAnsi="Verdana"/>
      <w:sz w:val="20"/>
      <w:szCs w:val="20"/>
      <w:lang w:eastAsia="en-US"/>
    </w:rPr>
  </w:style>
  <w:style w:type="paragraph" w:customStyle="1" w:styleId="CharCharCharCharChar13">
    <w:name w:val="Char Char Char Char Char13"/>
    <w:basedOn w:val="Normal"/>
    <w:rsid w:val="00BF6671"/>
    <w:pPr>
      <w:spacing w:after="160" w:line="240" w:lineRule="exact"/>
    </w:pPr>
    <w:rPr>
      <w:rFonts w:ascii="Verdana" w:hAnsi="Verdana"/>
      <w:sz w:val="20"/>
      <w:szCs w:val="20"/>
      <w:lang w:eastAsia="en-US"/>
    </w:rPr>
  </w:style>
  <w:style w:type="paragraph" w:customStyle="1" w:styleId="CharCharCharCharChar12">
    <w:name w:val="Char Char Char Char Char12"/>
    <w:basedOn w:val="Normal"/>
    <w:rsid w:val="00D91B94"/>
    <w:pPr>
      <w:spacing w:after="160" w:line="240" w:lineRule="exact"/>
    </w:pPr>
    <w:rPr>
      <w:rFonts w:ascii="Verdana" w:hAnsi="Verdana"/>
      <w:sz w:val="20"/>
      <w:szCs w:val="20"/>
      <w:lang w:eastAsia="en-US"/>
    </w:rPr>
  </w:style>
  <w:style w:type="paragraph" w:customStyle="1" w:styleId="labelled">
    <w:name w:val="labelled"/>
    <w:basedOn w:val="Normal"/>
    <w:rsid w:val="00602BC5"/>
    <w:rPr>
      <w:rFonts w:ascii="Times New Roman" w:hAnsi="Times New Roman"/>
      <w:sz w:val="24"/>
    </w:rPr>
  </w:style>
  <w:style w:type="character" w:customStyle="1" w:styleId="spc">
    <w:name w:val="spc"/>
    <w:rsid w:val="00602BC5"/>
    <w:rPr>
      <w:rFonts w:ascii="Times New Roman" w:hAnsi="Times New Roman" w:cs="Times New Roman" w:hint="default"/>
      <w:strike w:val="0"/>
      <w:dstrike w:val="0"/>
      <w:u w:val="none"/>
      <w:effect w:val="none"/>
    </w:rPr>
  </w:style>
  <w:style w:type="character" w:customStyle="1" w:styleId="label">
    <w:name w:val="label"/>
    <w:rsid w:val="00602BC5"/>
    <w:rPr>
      <w:rFonts w:ascii="Times New Roman" w:hAnsi="Times New Roman" w:cs="Times New Roman" w:hint="default"/>
    </w:rPr>
  </w:style>
  <w:style w:type="paragraph" w:customStyle="1" w:styleId="CharCharCharCharChar11">
    <w:name w:val="Char Char Char Char Char11"/>
    <w:basedOn w:val="Normal"/>
    <w:rsid w:val="00715212"/>
    <w:pPr>
      <w:spacing w:after="160" w:line="240" w:lineRule="exact"/>
    </w:pPr>
    <w:rPr>
      <w:rFonts w:ascii="Verdana" w:hAnsi="Verdana"/>
      <w:sz w:val="20"/>
      <w:szCs w:val="20"/>
      <w:lang w:val="en-US" w:eastAsia="en-US"/>
    </w:rPr>
  </w:style>
  <w:style w:type="paragraph" w:customStyle="1" w:styleId="ANZLetteredList">
    <w:name w:val="ANZ Lettered List"/>
    <w:basedOn w:val="Normal"/>
    <w:rsid w:val="005C7B17"/>
    <w:pPr>
      <w:spacing w:after="240" w:line="260" w:lineRule="atLeast"/>
    </w:pPr>
    <w:rPr>
      <w:rFonts w:ascii="Tw Cen MT Mi" w:hAnsi="Tw Cen MT Mi"/>
      <w:sz w:val="24"/>
      <w:szCs w:val="22"/>
      <w:lang w:eastAsia="en-GB"/>
    </w:rPr>
  </w:style>
  <w:style w:type="paragraph" w:customStyle="1" w:styleId="BulletNumber">
    <w:name w:val="Bullet Number"/>
    <w:basedOn w:val="Bullet"/>
    <w:qFormat/>
    <w:rsid w:val="008E244B"/>
    <w:pPr>
      <w:ind w:left="623" w:hanging="510"/>
    </w:pPr>
  </w:style>
  <w:style w:type="paragraph" w:styleId="Caption">
    <w:name w:val="caption"/>
    <w:basedOn w:val="Normal"/>
    <w:next w:val="Normal"/>
    <w:uiPriority w:val="35"/>
    <w:unhideWhenUsed/>
    <w:qFormat/>
    <w:rsid w:val="00D72BB7"/>
    <w:pPr>
      <w:spacing w:before="0"/>
      <w:jc w:val="left"/>
    </w:pPr>
    <w:rPr>
      <w:b/>
      <w:bCs/>
      <w:color w:val="4F81BD"/>
      <w:sz w:val="18"/>
      <w:szCs w:val="18"/>
    </w:rPr>
  </w:style>
  <w:style w:type="paragraph" w:styleId="TOCHeading">
    <w:name w:val="TOC Heading"/>
    <w:basedOn w:val="Heading1"/>
    <w:next w:val="Normal"/>
    <w:uiPriority w:val="39"/>
    <w:semiHidden/>
    <w:unhideWhenUsed/>
    <w:qFormat/>
    <w:rsid w:val="004601CB"/>
    <w:pPr>
      <w:keepLines/>
      <w:spacing w:before="480" w:after="0" w:line="276" w:lineRule="auto"/>
      <w:jc w:val="left"/>
      <w:outlineLvl w:val="9"/>
    </w:pPr>
    <w:rPr>
      <w:rFonts w:ascii="Cambria" w:hAnsi="Cambria"/>
      <w:b/>
      <w:color w:val="365F91"/>
      <w:kern w:val="0"/>
      <w:sz w:val="28"/>
      <w:szCs w:val="28"/>
      <w:lang w:val="en-US" w:eastAsia="en-US"/>
    </w:rPr>
  </w:style>
  <w:style w:type="character" w:customStyle="1" w:styleId="Heading4Char">
    <w:name w:val="Heading 4 Char"/>
    <w:link w:val="Heading4"/>
    <w:rsid w:val="0071770D"/>
    <w:rPr>
      <w:rFonts w:ascii="Arial" w:hAnsi="Arial"/>
      <w:b/>
      <w:bCs/>
      <w:sz w:val="24"/>
      <w:szCs w:val="28"/>
    </w:rPr>
  </w:style>
  <w:style w:type="paragraph" w:customStyle="1" w:styleId="Bullet2">
    <w:name w:val="Bullet 2"/>
    <w:basedOn w:val="Bullet"/>
    <w:qFormat/>
    <w:rsid w:val="00E5009B"/>
    <w:pPr>
      <w:numPr>
        <w:numId w:val="7"/>
      </w:numPr>
      <w:tabs>
        <w:tab w:val="left" w:pos="1134"/>
      </w:tabs>
      <w:ind w:left="1134" w:hanging="510"/>
    </w:pPr>
  </w:style>
  <w:style w:type="paragraph" w:customStyle="1" w:styleId="Tabletext">
    <w:name w:val="Table text"/>
    <w:basedOn w:val="Normal"/>
    <w:qFormat/>
    <w:rsid w:val="00AD0687"/>
    <w:pPr>
      <w:spacing w:before="0"/>
      <w:jc w:val="left"/>
    </w:pPr>
    <w:rPr>
      <w:sz w:val="20"/>
    </w:rPr>
  </w:style>
  <w:style w:type="paragraph" w:styleId="TOC6">
    <w:name w:val="toc 6"/>
    <w:basedOn w:val="Normal"/>
    <w:next w:val="Normal"/>
    <w:autoRedefine/>
    <w:uiPriority w:val="39"/>
    <w:unhideWhenUsed/>
    <w:rsid w:val="003F7128"/>
    <w:pPr>
      <w:spacing w:before="0" w:after="100" w:line="276" w:lineRule="auto"/>
      <w:ind w:left="1100"/>
      <w:jc w:val="left"/>
    </w:pPr>
    <w:rPr>
      <w:rFonts w:ascii="Calibri" w:hAnsi="Calibri"/>
      <w:szCs w:val="22"/>
    </w:rPr>
  </w:style>
  <w:style w:type="paragraph" w:styleId="TOC7">
    <w:name w:val="toc 7"/>
    <w:basedOn w:val="Normal"/>
    <w:next w:val="Normal"/>
    <w:autoRedefine/>
    <w:uiPriority w:val="39"/>
    <w:unhideWhenUsed/>
    <w:rsid w:val="003F7128"/>
    <w:pPr>
      <w:spacing w:before="0" w:after="100" w:line="276" w:lineRule="auto"/>
      <w:ind w:left="1320"/>
      <w:jc w:val="left"/>
    </w:pPr>
    <w:rPr>
      <w:rFonts w:ascii="Calibri" w:hAnsi="Calibri"/>
      <w:szCs w:val="22"/>
    </w:rPr>
  </w:style>
  <w:style w:type="paragraph" w:styleId="TOC8">
    <w:name w:val="toc 8"/>
    <w:basedOn w:val="Normal"/>
    <w:next w:val="Normal"/>
    <w:autoRedefine/>
    <w:uiPriority w:val="39"/>
    <w:unhideWhenUsed/>
    <w:rsid w:val="003F7128"/>
    <w:pPr>
      <w:spacing w:before="0" w:after="100" w:line="276" w:lineRule="auto"/>
      <w:ind w:left="1540"/>
      <w:jc w:val="left"/>
    </w:pPr>
    <w:rPr>
      <w:rFonts w:ascii="Calibri" w:hAnsi="Calibri"/>
      <w:szCs w:val="22"/>
    </w:rPr>
  </w:style>
  <w:style w:type="paragraph" w:styleId="TOC9">
    <w:name w:val="toc 9"/>
    <w:basedOn w:val="Normal"/>
    <w:next w:val="Normal"/>
    <w:autoRedefine/>
    <w:uiPriority w:val="39"/>
    <w:unhideWhenUsed/>
    <w:rsid w:val="003F7128"/>
    <w:pPr>
      <w:spacing w:before="0" w:after="100" w:line="276" w:lineRule="auto"/>
      <w:ind w:left="1760"/>
      <w:jc w:val="left"/>
    </w:pPr>
    <w:rPr>
      <w:rFonts w:ascii="Calibri" w:hAnsi="Calibri"/>
      <w:szCs w:val="22"/>
    </w:rPr>
  </w:style>
  <w:style w:type="paragraph" w:customStyle="1" w:styleId="Bullet-Level3">
    <w:name w:val="Bullet - Level 3"/>
    <w:basedOn w:val="Normal"/>
    <w:next w:val="Normal"/>
    <w:rsid w:val="00B8228C"/>
    <w:pPr>
      <w:numPr>
        <w:numId w:val="8"/>
      </w:numPr>
      <w:spacing w:before="120" w:line="240" w:lineRule="atLeast"/>
      <w:jc w:val="left"/>
    </w:pPr>
    <w:rPr>
      <w:szCs w:val="20"/>
      <w:lang w:eastAsia="en-US"/>
    </w:rPr>
  </w:style>
  <w:style w:type="character" w:customStyle="1" w:styleId="ps341">
    <w:name w:val="ps341"/>
    <w:basedOn w:val="DefaultParagraphFont"/>
    <w:rsid w:val="00B8228C"/>
  </w:style>
  <w:style w:type="character" w:customStyle="1" w:styleId="FootnoteTextChar">
    <w:name w:val="Footnote Text Char"/>
    <w:link w:val="FootnoteText"/>
    <w:semiHidden/>
    <w:locked/>
    <w:rsid w:val="00756103"/>
    <w:rPr>
      <w:rFonts w:ascii="Arial" w:hAnsi="Arial"/>
    </w:rPr>
  </w:style>
  <w:style w:type="character" w:customStyle="1" w:styleId="Heading5Char">
    <w:name w:val="Heading 5 Char"/>
    <w:link w:val="Heading5"/>
    <w:rsid w:val="00ED3092"/>
    <w:rPr>
      <w:rFonts w:ascii="Arial" w:hAnsi="Arial"/>
      <w:b/>
      <w:bCs/>
      <w:iCs/>
      <w:sz w:val="22"/>
      <w:szCs w:val="26"/>
    </w:rPr>
  </w:style>
  <w:style w:type="paragraph" w:styleId="TableofFigures">
    <w:name w:val="table of figures"/>
    <w:basedOn w:val="Normal"/>
    <w:next w:val="Normal"/>
    <w:uiPriority w:val="99"/>
    <w:unhideWhenUsed/>
    <w:rsid w:val="00CC12E6"/>
  </w:style>
  <w:style w:type="paragraph" w:customStyle="1" w:styleId="1CMBULLET-LEVEL2">
    <w:name w:val="1CM BULLET - LEVEL 2"/>
    <w:basedOn w:val="Normal"/>
    <w:next w:val="Normal"/>
    <w:rsid w:val="00B52F94"/>
    <w:pPr>
      <w:numPr>
        <w:numId w:val="20"/>
      </w:numPr>
      <w:spacing w:before="60" w:after="60" w:line="260" w:lineRule="atLeast"/>
      <w:jc w:val="left"/>
    </w:pPr>
    <w:rPr>
      <w:rFonts w:ascii="Tw Cen MT Mi" w:hAnsi="Tw Cen MT Mi"/>
      <w:sz w:val="20"/>
      <w:szCs w:val="20"/>
      <w:lang w:val="en-GB" w:eastAsia="en-US"/>
    </w:rPr>
  </w:style>
  <w:style w:type="paragraph" w:customStyle="1" w:styleId="FootnoteArial10">
    <w:name w:val="Footnote + Arial 10"/>
    <w:basedOn w:val="FootnoteText"/>
    <w:qFormat/>
    <w:rsid w:val="0031262E"/>
    <w:pPr>
      <w:jc w:val="left"/>
    </w:pPr>
    <w:rPr>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213">
      <w:bodyDiv w:val="1"/>
      <w:marLeft w:val="0"/>
      <w:marRight w:val="0"/>
      <w:marTop w:val="0"/>
      <w:marBottom w:val="0"/>
      <w:divBdr>
        <w:top w:val="none" w:sz="0" w:space="0" w:color="auto"/>
        <w:left w:val="none" w:sz="0" w:space="0" w:color="auto"/>
        <w:bottom w:val="none" w:sz="0" w:space="0" w:color="auto"/>
        <w:right w:val="none" w:sz="0" w:space="0" w:color="auto"/>
      </w:divBdr>
    </w:div>
    <w:div w:id="13113654">
      <w:bodyDiv w:val="1"/>
      <w:marLeft w:val="0"/>
      <w:marRight w:val="0"/>
      <w:marTop w:val="0"/>
      <w:marBottom w:val="0"/>
      <w:divBdr>
        <w:top w:val="none" w:sz="0" w:space="0" w:color="auto"/>
        <w:left w:val="none" w:sz="0" w:space="0" w:color="auto"/>
        <w:bottom w:val="none" w:sz="0" w:space="0" w:color="auto"/>
        <w:right w:val="none" w:sz="0" w:space="0" w:color="auto"/>
      </w:divBdr>
    </w:div>
    <w:div w:id="17002497">
      <w:bodyDiv w:val="1"/>
      <w:marLeft w:val="0"/>
      <w:marRight w:val="0"/>
      <w:marTop w:val="0"/>
      <w:marBottom w:val="0"/>
      <w:divBdr>
        <w:top w:val="none" w:sz="0" w:space="0" w:color="auto"/>
        <w:left w:val="none" w:sz="0" w:space="0" w:color="auto"/>
        <w:bottom w:val="none" w:sz="0" w:space="0" w:color="auto"/>
        <w:right w:val="none" w:sz="0" w:space="0" w:color="auto"/>
      </w:divBdr>
    </w:div>
    <w:div w:id="23331929">
      <w:bodyDiv w:val="1"/>
      <w:marLeft w:val="0"/>
      <w:marRight w:val="0"/>
      <w:marTop w:val="0"/>
      <w:marBottom w:val="0"/>
      <w:divBdr>
        <w:top w:val="none" w:sz="0" w:space="0" w:color="auto"/>
        <w:left w:val="none" w:sz="0" w:space="0" w:color="auto"/>
        <w:bottom w:val="none" w:sz="0" w:space="0" w:color="auto"/>
        <w:right w:val="none" w:sz="0" w:space="0" w:color="auto"/>
      </w:divBdr>
    </w:div>
    <w:div w:id="25178022">
      <w:bodyDiv w:val="1"/>
      <w:marLeft w:val="0"/>
      <w:marRight w:val="0"/>
      <w:marTop w:val="0"/>
      <w:marBottom w:val="0"/>
      <w:divBdr>
        <w:top w:val="none" w:sz="0" w:space="0" w:color="auto"/>
        <w:left w:val="none" w:sz="0" w:space="0" w:color="auto"/>
        <w:bottom w:val="none" w:sz="0" w:space="0" w:color="auto"/>
        <w:right w:val="none" w:sz="0" w:space="0" w:color="auto"/>
      </w:divBdr>
    </w:div>
    <w:div w:id="27681878">
      <w:bodyDiv w:val="1"/>
      <w:marLeft w:val="0"/>
      <w:marRight w:val="0"/>
      <w:marTop w:val="0"/>
      <w:marBottom w:val="0"/>
      <w:divBdr>
        <w:top w:val="none" w:sz="0" w:space="0" w:color="auto"/>
        <w:left w:val="none" w:sz="0" w:space="0" w:color="auto"/>
        <w:bottom w:val="none" w:sz="0" w:space="0" w:color="auto"/>
        <w:right w:val="none" w:sz="0" w:space="0" w:color="auto"/>
      </w:divBdr>
    </w:div>
    <w:div w:id="35205842">
      <w:bodyDiv w:val="1"/>
      <w:marLeft w:val="0"/>
      <w:marRight w:val="0"/>
      <w:marTop w:val="0"/>
      <w:marBottom w:val="0"/>
      <w:divBdr>
        <w:top w:val="none" w:sz="0" w:space="0" w:color="auto"/>
        <w:left w:val="none" w:sz="0" w:space="0" w:color="auto"/>
        <w:bottom w:val="none" w:sz="0" w:space="0" w:color="auto"/>
        <w:right w:val="none" w:sz="0" w:space="0" w:color="auto"/>
      </w:divBdr>
    </w:div>
    <w:div w:id="41254003">
      <w:bodyDiv w:val="1"/>
      <w:marLeft w:val="0"/>
      <w:marRight w:val="0"/>
      <w:marTop w:val="0"/>
      <w:marBottom w:val="0"/>
      <w:divBdr>
        <w:top w:val="none" w:sz="0" w:space="0" w:color="auto"/>
        <w:left w:val="none" w:sz="0" w:space="0" w:color="auto"/>
        <w:bottom w:val="none" w:sz="0" w:space="0" w:color="auto"/>
        <w:right w:val="none" w:sz="0" w:space="0" w:color="auto"/>
      </w:divBdr>
    </w:div>
    <w:div w:id="45229914">
      <w:bodyDiv w:val="1"/>
      <w:marLeft w:val="0"/>
      <w:marRight w:val="0"/>
      <w:marTop w:val="0"/>
      <w:marBottom w:val="0"/>
      <w:divBdr>
        <w:top w:val="none" w:sz="0" w:space="0" w:color="auto"/>
        <w:left w:val="none" w:sz="0" w:space="0" w:color="auto"/>
        <w:bottom w:val="none" w:sz="0" w:space="0" w:color="auto"/>
        <w:right w:val="none" w:sz="0" w:space="0" w:color="auto"/>
      </w:divBdr>
    </w:div>
    <w:div w:id="52894823">
      <w:bodyDiv w:val="1"/>
      <w:marLeft w:val="0"/>
      <w:marRight w:val="0"/>
      <w:marTop w:val="0"/>
      <w:marBottom w:val="0"/>
      <w:divBdr>
        <w:top w:val="none" w:sz="0" w:space="0" w:color="auto"/>
        <w:left w:val="none" w:sz="0" w:space="0" w:color="auto"/>
        <w:bottom w:val="none" w:sz="0" w:space="0" w:color="auto"/>
        <w:right w:val="none" w:sz="0" w:space="0" w:color="auto"/>
      </w:divBdr>
    </w:div>
    <w:div w:id="55974367">
      <w:bodyDiv w:val="1"/>
      <w:marLeft w:val="0"/>
      <w:marRight w:val="0"/>
      <w:marTop w:val="0"/>
      <w:marBottom w:val="0"/>
      <w:divBdr>
        <w:top w:val="none" w:sz="0" w:space="0" w:color="auto"/>
        <w:left w:val="none" w:sz="0" w:space="0" w:color="auto"/>
        <w:bottom w:val="none" w:sz="0" w:space="0" w:color="auto"/>
        <w:right w:val="none" w:sz="0" w:space="0" w:color="auto"/>
      </w:divBdr>
    </w:div>
    <w:div w:id="61411801">
      <w:bodyDiv w:val="1"/>
      <w:marLeft w:val="0"/>
      <w:marRight w:val="0"/>
      <w:marTop w:val="0"/>
      <w:marBottom w:val="0"/>
      <w:divBdr>
        <w:top w:val="none" w:sz="0" w:space="0" w:color="auto"/>
        <w:left w:val="none" w:sz="0" w:space="0" w:color="auto"/>
        <w:bottom w:val="none" w:sz="0" w:space="0" w:color="auto"/>
        <w:right w:val="none" w:sz="0" w:space="0" w:color="auto"/>
      </w:divBdr>
    </w:div>
    <w:div w:id="68578384">
      <w:bodyDiv w:val="1"/>
      <w:marLeft w:val="0"/>
      <w:marRight w:val="0"/>
      <w:marTop w:val="0"/>
      <w:marBottom w:val="0"/>
      <w:divBdr>
        <w:top w:val="none" w:sz="0" w:space="0" w:color="auto"/>
        <w:left w:val="none" w:sz="0" w:space="0" w:color="auto"/>
        <w:bottom w:val="none" w:sz="0" w:space="0" w:color="auto"/>
        <w:right w:val="none" w:sz="0" w:space="0" w:color="auto"/>
      </w:divBdr>
    </w:div>
    <w:div w:id="81152022">
      <w:bodyDiv w:val="1"/>
      <w:marLeft w:val="0"/>
      <w:marRight w:val="0"/>
      <w:marTop w:val="0"/>
      <w:marBottom w:val="0"/>
      <w:divBdr>
        <w:top w:val="none" w:sz="0" w:space="0" w:color="auto"/>
        <w:left w:val="none" w:sz="0" w:space="0" w:color="auto"/>
        <w:bottom w:val="none" w:sz="0" w:space="0" w:color="auto"/>
        <w:right w:val="none" w:sz="0" w:space="0" w:color="auto"/>
      </w:divBdr>
    </w:div>
    <w:div w:id="97989188">
      <w:bodyDiv w:val="1"/>
      <w:marLeft w:val="0"/>
      <w:marRight w:val="0"/>
      <w:marTop w:val="0"/>
      <w:marBottom w:val="0"/>
      <w:divBdr>
        <w:top w:val="none" w:sz="0" w:space="0" w:color="auto"/>
        <w:left w:val="none" w:sz="0" w:space="0" w:color="auto"/>
        <w:bottom w:val="none" w:sz="0" w:space="0" w:color="auto"/>
        <w:right w:val="none" w:sz="0" w:space="0" w:color="auto"/>
      </w:divBdr>
    </w:div>
    <w:div w:id="101072968">
      <w:bodyDiv w:val="1"/>
      <w:marLeft w:val="0"/>
      <w:marRight w:val="0"/>
      <w:marTop w:val="0"/>
      <w:marBottom w:val="0"/>
      <w:divBdr>
        <w:top w:val="none" w:sz="0" w:space="0" w:color="auto"/>
        <w:left w:val="none" w:sz="0" w:space="0" w:color="auto"/>
        <w:bottom w:val="none" w:sz="0" w:space="0" w:color="auto"/>
        <w:right w:val="none" w:sz="0" w:space="0" w:color="auto"/>
      </w:divBdr>
    </w:div>
    <w:div w:id="106580906">
      <w:bodyDiv w:val="1"/>
      <w:marLeft w:val="0"/>
      <w:marRight w:val="0"/>
      <w:marTop w:val="0"/>
      <w:marBottom w:val="0"/>
      <w:divBdr>
        <w:top w:val="none" w:sz="0" w:space="0" w:color="auto"/>
        <w:left w:val="none" w:sz="0" w:space="0" w:color="auto"/>
        <w:bottom w:val="none" w:sz="0" w:space="0" w:color="auto"/>
        <w:right w:val="none" w:sz="0" w:space="0" w:color="auto"/>
      </w:divBdr>
    </w:div>
    <w:div w:id="110823724">
      <w:bodyDiv w:val="1"/>
      <w:marLeft w:val="0"/>
      <w:marRight w:val="0"/>
      <w:marTop w:val="0"/>
      <w:marBottom w:val="0"/>
      <w:divBdr>
        <w:top w:val="none" w:sz="0" w:space="0" w:color="auto"/>
        <w:left w:val="none" w:sz="0" w:space="0" w:color="auto"/>
        <w:bottom w:val="none" w:sz="0" w:space="0" w:color="auto"/>
        <w:right w:val="none" w:sz="0" w:space="0" w:color="auto"/>
      </w:divBdr>
    </w:div>
    <w:div w:id="117259284">
      <w:bodyDiv w:val="1"/>
      <w:marLeft w:val="0"/>
      <w:marRight w:val="0"/>
      <w:marTop w:val="0"/>
      <w:marBottom w:val="0"/>
      <w:divBdr>
        <w:top w:val="none" w:sz="0" w:space="0" w:color="auto"/>
        <w:left w:val="none" w:sz="0" w:space="0" w:color="auto"/>
        <w:bottom w:val="none" w:sz="0" w:space="0" w:color="auto"/>
        <w:right w:val="none" w:sz="0" w:space="0" w:color="auto"/>
      </w:divBdr>
    </w:div>
    <w:div w:id="118841032">
      <w:bodyDiv w:val="1"/>
      <w:marLeft w:val="0"/>
      <w:marRight w:val="0"/>
      <w:marTop w:val="0"/>
      <w:marBottom w:val="0"/>
      <w:divBdr>
        <w:top w:val="none" w:sz="0" w:space="0" w:color="auto"/>
        <w:left w:val="none" w:sz="0" w:space="0" w:color="auto"/>
        <w:bottom w:val="none" w:sz="0" w:space="0" w:color="auto"/>
        <w:right w:val="none" w:sz="0" w:space="0" w:color="auto"/>
      </w:divBdr>
    </w:div>
    <w:div w:id="121771531">
      <w:bodyDiv w:val="1"/>
      <w:marLeft w:val="0"/>
      <w:marRight w:val="0"/>
      <w:marTop w:val="0"/>
      <w:marBottom w:val="0"/>
      <w:divBdr>
        <w:top w:val="none" w:sz="0" w:space="0" w:color="auto"/>
        <w:left w:val="none" w:sz="0" w:space="0" w:color="auto"/>
        <w:bottom w:val="none" w:sz="0" w:space="0" w:color="auto"/>
        <w:right w:val="none" w:sz="0" w:space="0" w:color="auto"/>
      </w:divBdr>
    </w:div>
    <w:div w:id="123618809">
      <w:bodyDiv w:val="1"/>
      <w:marLeft w:val="0"/>
      <w:marRight w:val="0"/>
      <w:marTop w:val="0"/>
      <w:marBottom w:val="0"/>
      <w:divBdr>
        <w:top w:val="none" w:sz="0" w:space="0" w:color="auto"/>
        <w:left w:val="none" w:sz="0" w:space="0" w:color="auto"/>
        <w:bottom w:val="none" w:sz="0" w:space="0" w:color="auto"/>
        <w:right w:val="none" w:sz="0" w:space="0" w:color="auto"/>
      </w:divBdr>
    </w:div>
    <w:div w:id="128860639">
      <w:bodyDiv w:val="1"/>
      <w:marLeft w:val="0"/>
      <w:marRight w:val="0"/>
      <w:marTop w:val="0"/>
      <w:marBottom w:val="0"/>
      <w:divBdr>
        <w:top w:val="none" w:sz="0" w:space="0" w:color="auto"/>
        <w:left w:val="none" w:sz="0" w:space="0" w:color="auto"/>
        <w:bottom w:val="none" w:sz="0" w:space="0" w:color="auto"/>
        <w:right w:val="none" w:sz="0" w:space="0" w:color="auto"/>
      </w:divBdr>
    </w:div>
    <w:div w:id="132990527">
      <w:bodyDiv w:val="1"/>
      <w:marLeft w:val="0"/>
      <w:marRight w:val="0"/>
      <w:marTop w:val="0"/>
      <w:marBottom w:val="0"/>
      <w:divBdr>
        <w:top w:val="none" w:sz="0" w:space="0" w:color="auto"/>
        <w:left w:val="none" w:sz="0" w:space="0" w:color="auto"/>
        <w:bottom w:val="none" w:sz="0" w:space="0" w:color="auto"/>
        <w:right w:val="none" w:sz="0" w:space="0" w:color="auto"/>
      </w:divBdr>
    </w:div>
    <w:div w:id="139006904">
      <w:bodyDiv w:val="1"/>
      <w:marLeft w:val="0"/>
      <w:marRight w:val="0"/>
      <w:marTop w:val="0"/>
      <w:marBottom w:val="0"/>
      <w:divBdr>
        <w:top w:val="none" w:sz="0" w:space="0" w:color="auto"/>
        <w:left w:val="none" w:sz="0" w:space="0" w:color="auto"/>
        <w:bottom w:val="none" w:sz="0" w:space="0" w:color="auto"/>
        <w:right w:val="none" w:sz="0" w:space="0" w:color="auto"/>
      </w:divBdr>
    </w:div>
    <w:div w:id="142091417">
      <w:bodyDiv w:val="1"/>
      <w:marLeft w:val="0"/>
      <w:marRight w:val="0"/>
      <w:marTop w:val="0"/>
      <w:marBottom w:val="0"/>
      <w:divBdr>
        <w:top w:val="none" w:sz="0" w:space="0" w:color="auto"/>
        <w:left w:val="none" w:sz="0" w:space="0" w:color="auto"/>
        <w:bottom w:val="none" w:sz="0" w:space="0" w:color="auto"/>
        <w:right w:val="none" w:sz="0" w:space="0" w:color="auto"/>
      </w:divBdr>
    </w:div>
    <w:div w:id="146410081">
      <w:bodyDiv w:val="1"/>
      <w:marLeft w:val="0"/>
      <w:marRight w:val="0"/>
      <w:marTop w:val="0"/>
      <w:marBottom w:val="0"/>
      <w:divBdr>
        <w:top w:val="none" w:sz="0" w:space="0" w:color="auto"/>
        <w:left w:val="none" w:sz="0" w:space="0" w:color="auto"/>
        <w:bottom w:val="none" w:sz="0" w:space="0" w:color="auto"/>
        <w:right w:val="none" w:sz="0" w:space="0" w:color="auto"/>
      </w:divBdr>
    </w:div>
    <w:div w:id="155078904">
      <w:bodyDiv w:val="1"/>
      <w:marLeft w:val="0"/>
      <w:marRight w:val="0"/>
      <w:marTop w:val="0"/>
      <w:marBottom w:val="0"/>
      <w:divBdr>
        <w:top w:val="none" w:sz="0" w:space="0" w:color="auto"/>
        <w:left w:val="none" w:sz="0" w:space="0" w:color="auto"/>
        <w:bottom w:val="none" w:sz="0" w:space="0" w:color="auto"/>
        <w:right w:val="none" w:sz="0" w:space="0" w:color="auto"/>
      </w:divBdr>
    </w:div>
    <w:div w:id="160892205">
      <w:bodyDiv w:val="1"/>
      <w:marLeft w:val="0"/>
      <w:marRight w:val="0"/>
      <w:marTop w:val="0"/>
      <w:marBottom w:val="0"/>
      <w:divBdr>
        <w:top w:val="none" w:sz="0" w:space="0" w:color="auto"/>
        <w:left w:val="none" w:sz="0" w:space="0" w:color="auto"/>
        <w:bottom w:val="none" w:sz="0" w:space="0" w:color="auto"/>
        <w:right w:val="none" w:sz="0" w:space="0" w:color="auto"/>
      </w:divBdr>
    </w:div>
    <w:div w:id="164132344">
      <w:bodyDiv w:val="1"/>
      <w:marLeft w:val="0"/>
      <w:marRight w:val="0"/>
      <w:marTop w:val="0"/>
      <w:marBottom w:val="0"/>
      <w:divBdr>
        <w:top w:val="none" w:sz="0" w:space="0" w:color="auto"/>
        <w:left w:val="none" w:sz="0" w:space="0" w:color="auto"/>
        <w:bottom w:val="none" w:sz="0" w:space="0" w:color="auto"/>
        <w:right w:val="none" w:sz="0" w:space="0" w:color="auto"/>
      </w:divBdr>
    </w:div>
    <w:div w:id="168062875">
      <w:bodyDiv w:val="1"/>
      <w:marLeft w:val="0"/>
      <w:marRight w:val="0"/>
      <w:marTop w:val="0"/>
      <w:marBottom w:val="0"/>
      <w:divBdr>
        <w:top w:val="none" w:sz="0" w:space="0" w:color="auto"/>
        <w:left w:val="none" w:sz="0" w:space="0" w:color="auto"/>
        <w:bottom w:val="none" w:sz="0" w:space="0" w:color="auto"/>
        <w:right w:val="none" w:sz="0" w:space="0" w:color="auto"/>
      </w:divBdr>
      <w:divsChild>
        <w:div w:id="700788436">
          <w:marLeft w:val="0"/>
          <w:marRight w:val="0"/>
          <w:marTop w:val="0"/>
          <w:marBottom w:val="0"/>
          <w:divBdr>
            <w:top w:val="none" w:sz="0" w:space="0" w:color="auto"/>
            <w:left w:val="none" w:sz="0" w:space="0" w:color="auto"/>
            <w:bottom w:val="none" w:sz="0" w:space="0" w:color="auto"/>
            <w:right w:val="none" w:sz="0" w:space="0" w:color="auto"/>
          </w:divBdr>
          <w:divsChild>
            <w:div w:id="786654930">
              <w:marLeft w:val="0"/>
              <w:marRight w:val="0"/>
              <w:marTop w:val="0"/>
              <w:marBottom w:val="0"/>
              <w:divBdr>
                <w:top w:val="none" w:sz="0" w:space="0" w:color="auto"/>
                <w:left w:val="none" w:sz="0" w:space="0" w:color="auto"/>
                <w:bottom w:val="none" w:sz="0" w:space="0" w:color="auto"/>
                <w:right w:val="none" w:sz="0" w:space="0" w:color="auto"/>
              </w:divBdr>
              <w:divsChild>
                <w:div w:id="1429349923">
                  <w:marLeft w:val="0"/>
                  <w:marRight w:val="0"/>
                  <w:marTop w:val="0"/>
                  <w:marBottom w:val="0"/>
                  <w:divBdr>
                    <w:top w:val="none" w:sz="0" w:space="0" w:color="auto"/>
                    <w:left w:val="none" w:sz="0" w:space="0" w:color="auto"/>
                    <w:bottom w:val="none" w:sz="0" w:space="0" w:color="auto"/>
                    <w:right w:val="none" w:sz="0" w:space="0" w:color="auto"/>
                  </w:divBdr>
                  <w:divsChild>
                    <w:div w:id="1146236346">
                      <w:marLeft w:val="0"/>
                      <w:marRight w:val="0"/>
                      <w:marTop w:val="0"/>
                      <w:marBottom w:val="0"/>
                      <w:divBdr>
                        <w:top w:val="none" w:sz="0" w:space="0" w:color="auto"/>
                        <w:left w:val="none" w:sz="0" w:space="0" w:color="auto"/>
                        <w:bottom w:val="none" w:sz="0" w:space="0" w:color="auto"/>
                        <w:right w:val="none" w:sz="0" w:space="0" w:color="auto"/>
                      </w:divBdr>
                      <w:divsChild>
                        <w:div w:id="505902186">
                          <w:marLeft w:val="0"/>
                          <w:marRight w:val="0"/>
                          <w:marTop w:val="0"/>
                          <w:marBottom w:val="420"/>
                          <w:divBdr>
                            <w:top w:val="none" w:sz="0" w:space="0" w:color="auto"/>
                            <w:left w:val="none" w:sz="0" w:space="0" w:color="auto"/>
                            <w:bottom w:val="none" w:sz="0" w:space="0" w:color="auto"/>
                            <w:right w:val="none" w:sz="0" w:space="0" w:color="auto"/>
                          </w:divBdr>
                          <w:divsChild>
                            <w:div w:id="1898588604">
                              <w:marLeft w:val="0"/>
                              <w:marRight w:val="0"/>
                              <w:marTop w:val="0"/>
                              <w:marBottom w:val="0"/>
                              <w:divBdr>
                                <w:top w:val="none" w:sz="0" w:space="0" w:color="auto"/>
                                <w:left w:val="none" w:sz="0" w:space="0" w:color="auto"/>
                                <w:bottom w:val="none" w:sz="0" w:space="0" w:color="auto"/>
                                <w:right w:val="none" w:sz="0" w:space="0" w:color="auto"/>
                              </w:divBdr>
                              <w:divsChild>
                                <w:div w:id="641692946">
                                  <w:marLeft w:val="0"/>
                                  <w:marRight w:val="0"/>
                                  <w:marTop w:val="0"/>
                                  <w:marBottom w:val="420"/>
                                  <w:divBdr>
                                    <w:top w:val="none" w:sz="0" w:space="0" w:color="auto"/>
                                    <w:left w:val="none" w:sz="0" w:space="0" w:color="auto"/>
                                    <w:bottom w:val="none" w:sz="0" w:space="0" w:color="auto"/>
                                    <w:right w:val="none" w:sz="0" w:space="0" w:color="auto"/>
                                  </w:divBdr>
                                  <w:divsChild>
                                    <w:div w:id="11888742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4761">
      <w:bodyDiv w:val="1"/>
      <w:marLeft w:val="0"/>
      <w:marRight w:val="0"/>
      <w:marTop w:val="0"/>
      <w:marBottom w:val="0"/>
      <w:divBdr>
        <w:top w:val="none" w:sz="0" w:space="0" w:color="auto"/>
        <w:left w:val="none" w:sz="0" w:space="0" w:color="auto"/>
        <w:bottom w:val="none" w:sz="0" w:space="0" w:color="auto"/>
        <w:right w:val="none" w:sz="0" w:space="0" w:color="auto"/>
      </w:divBdr>
      <w:divsChild>
        <w:div w:id="1786463400">
          <w:marLeft w:val="0"/>
          <w:marRight w:val="0"/>
          <w:marTop w:val="0"/>
          <w:marBottom w:val="0"/>
          <w:divBdr>
            <w:top w:val="none" w:sz="0" w:space="0" w:color="auto"/>
            <w:left w:val="none" w:sz="0" w:space="0" w:color="auto"/>
            <w:bottom w:val="none" w:sz="0" w:space="0" w:color="auto"/>
            <w:right w:val="none" w:sz="0" w:space="0" w:color="auto"/>
          </w:divBdr>
          <w:divsChild>
            <w:div w:id="986207220">
              <w:marLeft w:val="0"/>
              <w:marRight w:val="0"/>
              <w:marTop w:val="0"/>
              <w:marBottom w:val="0"/>
              <w:divBdr>
                <w:top w:val="none" w:sz="0" w:space="0" w:color="auto"/>
                <w:left w:val="none" w:sz="0" w:space="0" w:color="auto"/>
                <w:bottom w:val="none" w:sz="0" w:space="0" w:color="auto"/>
                <w:right w:val="none" w:sz="0" w:space="0" w:color="auto"/>
              </w:divBdr>
              <w:divsChild>
                <w:div w:id="480082630">
                  <w:marLeft w:val="0"/>
                  <w:marRight w:val="0"/>
                  <w:marTop w:val="0"/>
                  <w:marBottom w:val="0"/>
                  <w:divBdr>
                    <w:top w:val="none" w:sz="0" w:space="0" w:color="auto"/>
                    <w:left w:val="none" w:sz="0" w:space="0" w:color="auto"/>
                    <w:bottom w:val="none" w:sz="0" w:space="0" w:color="auto"/>
                    <w:right w:val="none" w:sz="0" w:space="0" w:color="auto"/>
                  </w:divBdr>
                  <w:divsChild>
                    <w:div w:id="984969571">
                      <w:marLeft w:val="0"/>
                      <w:marRight w:val="0"/>
                      <w:marTop w:val="0"/>
                      <w:marBottom w:val="0"/>
                      <w:divBdr>
                        <w:top w:val="none" w:sz="0" w:space="0" w:color="auto"/>
                        <w:left w:val="none" w:sz="0" w:space="0" w:color="auto"/>
                        <w:bottom w:val="none" w:sz="0" w:space="0" w:color="auto"/>
                        <w:right w:val="none" w:sz="0" w:space="0" w:color="auto"/>
                      </w:divBdr>
                      <w:divsChild>
                        <w:div w:id="957757295">
                          <w:marLeft w:val="0"/>
                          <w:marRight w:val="0"/>
                          <w:marTop w:val="0"/>
                          <w:marBottom w:val="420"/>
                          <w:divBdr>
                            <w:top w:val="none" w:sz="0" w:space="0" w:color="auto"/>
                            <w:left w:val="none" w:sz="0" w:space="0" w:color="auto"/>
                            <w:bottom w:val="none" w:sz="0" w:space="0" w:color="auto"/>
                            <w:right w:val="none" w:sz="0" w:space="0" w:color="auto"/>
                          </w:divBdr>
                          <w:divsChild>
                            <w:div w:id="1344278487">
                              <w:marLeft w:val="0"/>
                              <w:marRight w:val="0"/>
                              <w:marTop w:val="0"/>
                              <w:marBottom w:val="0"/>
                              <w:divBdr>
                                <w:top w:val="none" w:sz="0" w:space="0" w:color="auto"/>
                                <w:left w:val="none" w:sz="0" w:space="0" w:color="auto"/>
                                <w:bottom w:val="none" w:sz="0" w:space="0" w:color="auto"/>
                                <w:right w:val="none" w:sz="0" w:space="0" w:color="auto"/>
                              </w:divBdr>
                              <w:divsChild>
                                <w:div w:id="1519543772">
                                  <w:marLeft w:val="0"/>
                                  <w:marRight w:val="0"/>
                                  <w:marTop w:val="0"/>
                                  <w:marBottom w:val="420"/>
                                  <w:divBdr>
                                    <w:top w:val="none" w:sz="0" w:space="0" w:color="auto"/>
                                    <w:left w:val="none" w:sz="0" w:space="0" w:color="auto"/>
                                    <w:bottom w:val="none" w:sz="0" w:space="0" w:color="auto"/>
                                    <w:right w:val="none" w:sz="0" w:space="0" w:color="auto"/>
                                  </w:divBdr>
                                  <w:divsChild>
                                    <w:div w:id="185422397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21934">
      <w:bodyDiv w:val="1"/>
      <w:marLeft w:val="0"/>
      <w:marRight w:val="0"/>
      <w:marTop w:val="0"/>
      <w:marBottom w:val="0"/>
      <w:divBdr>
        <w:top w:val="none" w:sz="0" w:space="0" w:color="auto"/>
        <w:left w:val="none" w:sz="0" w:space="0" w:color="auto"/>
        <w:bottom w:val="none" w:sz="0" w:space="0" w:color="auto"/>
        <w:right w:val="none" w:sz="0" w:space="0" w:color="auto"/>
      </w:divBdr>
    </w:div>
    <w:div w:id="179896747">
      <w:bodyDiv w:val="1"/>
      <w:marLeft w:val="0"/>
      <w:marRight w:val="0"/>
      <w:marTop w:val="0"/>
      <w:marBottom w:val="0"/>
      <w:divBdr>
        <w:top w:val="none" w:sz="0" w:space="0" w:color="auto"/>
        <w:left w:val="none" w:sz="0" w:space="0" w:color="auto"/>
        <w:bottom w:val="none" w:sz="0" w:space="0" w:color="auto"/>
        <w:right w:val="none" w:sz="0" w:space="0" w:color="auto"/>
      </w:divBdr>
    </w:div>
    <w:div w:id="180169383">
      <w:bodyDiv w:val="1"/>
      <w:marLeft w:val="0"/>
      <w:marRight w:val="0"/>
      <w:marTop w:val="0"/>
      <w:marBottom w:val="0"/>
      <w:divBdr>
        <w:top w:val="none" w:sz="0" w:space="0" w:color="auto"/>
        <w:left w:val="none" w:sz="0" w:space="0" w:color="auto"/>
        <w:bottom w:val="none" w:sz="0" w:space="0" w:color="auto"/>
        <w:right w:val="none" w:sz="0" w:space="0" w:color="auto"/>
      </w:divBdr>
    </w:div>
    <w:div w:id="180241854">
      <w:bodyDiv w:val="1"/>
      <w:marLeft w:val="0"/>
      <w:marRight w:val="0"/>
      <w:marTop w:val="0"/>
      <w:marBottom w:val="0"/>
      <w:divBdr>
        <w:top w:val="none" w:sz="0" w:space="0" w:color="auto"/>
        <w:left w:val="none" w:sz="0" w:space="0" w:color="auto"/>
        <w:bottom w:val="none" w:sz="0" w:space="0" w:color="auto"/>
        <w:right w:val="none" w:sz="0" w:space="0" w:color="auto"/>
      </w:divBdr>
    </w:div>
    <w:div w:id="189951096">
      <w:bodyDiv w:val="1"/>
      <w:marLeft w:val="0"/>
      <w:marRight w:val="0"/>
      <w:marTop w:val="0"/>
      <w:marBottom w:val="0"/>
      <w:divBdr>
        <w:top w:val="none" w:sz="0" w:space="0" w:color="auto"/>
        <w:left w:val="none" w:sz="0" w:space="0" w:color="auto"/>
        <w:bottom w:val="none" w:sz="0" w:space="0" w:color="auto"/>
        <w:right w:val="none" w:sz="0" w:space="0" w:color="auto"/>
      </w:divBdr>
    </w:div>
    <w:div w:id="190805148">
      <w:bodyDiv w:val="1"/>
      <w:marLeft w:val="0"/>
      <w:marRight w:val="0"/>
      <w:marTop w:val="0"/>
      <w:marBottom w:val="0"/>
      <w:divBdr>
        <w:top w:val="none" w:sz="0" w:space="0" w:color="auto"/>
        <w:left w:val="none" w:sz="0" w:space="0" w:color="auto"/>
        <w:bottom w:val="none" w:sz="0" w:space="0" w:color="auto"/>
        <w:right w:val="none" w:sz="0" w:space="0" w:color="auto"/>
      </w:divBdr>
    </w:div>
    <w:div w:id="194541347">
      <w:bodyDiv w:val="1"/>
      <w:marLeft w:val="0"/>
      <w:marRight w:val="0"/>
      <w:marTop w:val="0"/>
      <w:marBottom w:val="0"/>
      <w:divBdr>
        <w:top w:val="none" w:sz="0" w:space="0" w:color="auto"/>
        <w:left w:val="none" w:sz="0" w:space="0" w:color="auto"/>
        <w:bottom w:val="none" w:sz="0" w:space="0" w:color="auto"/>
        <w:right w:val="none" w:sz="0" w:space="0" w:color="auto"/>
      </w:divBdr>
    </w:div>
    <w:div w:id="195891706">
      <w:bodyDiv w:val="1"/>
      <w:marLeft w:val="0"/>
      <w:marRight w:val="0"/>
      <w:marTop w:val="0"/>
      <w:marBottom w:val="0"/>
      <w:divBdr>
        <w:top w:val="none" w:sz="0" w:space="0" w:color="auto"/>
        <w:left w:val="none" w:sz="0" w:space="0" w:color="auto"/>
        <w:bottom w:val="none" w:sz="0" w:space="0" w:color="auto"/>
        <w:right w:val="none" w:sz="0" w:space="0" w:color="auto"/>
      </w:divBdr>
    </w:div>
    <w:div w:id="197398508">
      <w:bodyDiv w:val="1"/>
      <w:marLeft w:val="0"/>
      <w:marRight w:val="0"/>
      <w:marTop w:val="0"/>
      <w:marBottom w:val="0"/>
      <w:divBdr>
        <w:top w:val="none" w:sz="0" w:space="0" w:color="auto"/>
        <w:left w:val="none" w:sz="0" w:space="0" w:color="auto"/>
        <w:bottom w:val="none" w:sz="0" w:space="0" w:color="auto"/>
        <w:right w:val="none" w:sz="0" w:space="0" w:color="auto"/>
      </w:divBdr>
    </w:div>
    <w:div w:id="208494038">
      <w:bodyDiv w:val="1"/>
      <w:marLeft w:val="0"/>
      <w:marRight w:val="0"/>
      <w:marTop w:val="0"/>
      <w:marBottom w:val="0"/>
      <w:divBdr>
        <w:top w:val="none" w:sz="0" w:space="0" w:color="auto"/>
        <w:left w:val="none" w:sz="0" w:space="0" w:color="auto"/>
        <w:bottom w:val="none" w:sz="0" w:space="0" w:color="auto"/>
        <w:right w:val="none" w:sz="0" w:space="0" w:color="auto"/>
      </w:divBdr>
    </w:div>
    <w:div w:id="209920744">
      <w:bodyDiv w:val="1"/>
      <w:marLeft w:val="0"/>
      <w:marRight w:val="0"/>
      <w:marTop w:val="0"/>
      <w:marBottom w:val="0"/>
      <w:divBdr>
        <w:top w:val="none" w:sz="0" w:space="0" w:color="auto"/>
        <w:left w:val="none" w:sz="0" w:space="0" w:color="auto"/>
        <w:bottom w:val="none" w:sz="0" w:space="0" w:color="auto"/>
        <w:right w:val="none" w:sz="0" w:space="0" w:color="auto"/>
      </w:divBdr>
    </w:div>
    <w:div w:id="216357066">
      <w:bodyDiv w:val="1"/>
      <w:marLeft w:val="0"/>
      <w:marRight w:val="0"/>
      <w:marTop w:val="0"/>
      <w:marBottom w:val="0"/>
      <w:divBdr>
        <w:top w:val="none" w:sz="0" w:space="0" w:color="auto"/>
        <w:left w:val="none" w:sz="0" w:space="0" w:color="auto"/>
        <w:bottom w:val="none" w:sz="0" w:space="0" w:color="auto"/>
        <w:right w:val="none" w:sz="0" w:space="0" w:color="auto"/>
      </w:divBdr>
    </w:div>
    <w:div w:id="217595091">
      <w:bodyDiv w:val="1"/>
      <w:marLeft w:val="0"/>
      <w:marRight w:val="0"/>
      <w:marTop w:val="0"/>
      <w:marBottom w:val="0"/>
      <w:divBdr>
        <w:top w:val="none" w:sz="0" w:space="0" w:color="auto"/>
        <w:left w:val="none" w:sz="0" w:space="0" w:color="auto"/>
        <w:bottom w:val="none" w:sz="0" w:space="0" w:color="auto"/>
        <w:right w:val="none" w:sz="0" w:space="0" w:color="auto"/>
      </w:divBdr>
    </w:div>
    <w:div w:id="220404301">
      <w:bodyDiv w:val="1"/>
      <w:marLeft w:val="0"/>
      <w:marRight w:val="0"/>
      <w:marTop w:val="0"/>
      <w:marBottom w:val="0"/>
      <w:divBdr>
        <w:top w:val="none" w:sz="0" w:space="0" w:color="auto"/>
        <w:left w:val="none" w:sz="0" w:space="0" w:color="auto"/>
        <w:bottom w:val="none" w:sz="0" w:space="0" w:color="auto"/>
        <w:right w:val="none" w:sz="0" w:space="0" w:color="auto"/>
      </w:divBdr>
    </w:div>
    <w:div w:id="230773989">
      <w:bodyDiv w:val="1"/>
      <w:marLeft w:val="0"/>
      <w:marRight w:val="0"/>
      <w:marTop w:val="0"/>
      <w:marBottom w:val="0"/>
      <w:divBdr>
        <w:top w:val="none" w:sz="0" w:space="0" w:color="auto"/>
        <w:left w:val="none" w:sz="0" w:space="0" w:color="auto"/>
        <w:bottom w:val="none" w:sz="0" w:space="0" w:color="auto"/>
        <w:right w:val="none" w:sz="0" w:space="0" w:color="auto"/>
      </w:divBdr>
    </w:div>
    <w:div w:id="232544669">
      <w:bodyDiv w:val="1"/>
      <w:marLeft w:val="0"/>
      <w:marRight w:val="0"/>
      <w:marTop w:val="0"/>
      <w:marBottom w:val="0"/>
      <w:divBdr>
        <w:top w:val="none" w:sz="0" w:space="0" w:color="auto"/>
        <w:left w:val="none" w:sz="0" w:space="0" w:color="auto"/>
        <w:bottom w:val="none" w:sz="0" w:space="0" w:color="auto"/>
        <w:right w:val="none" w:sz="0" w:space="0" w:color="auto"/>
      </w:divBdr>
    </w:div>
    <w:div w:id="241985159">
      <w:bodyDiv w:val="1"/>
      <w:marLeft w:val="0"/>
      <w:marRight w:val="0"/>
      <w:marTop w:val="0"/>
      <w:marBottom w:val="0"/>
      <w:divBdr>
        <w:top w:val="none" w:sz="0" w:space="0" w:color="auto"/>
        <w:left w:val="none" w:sz="0" w:space="0" w:color="auto"/>
        <w:bottom w:val="none" w:sz="0" w:space="0" w:color="auto"/>
        <w:right w:val="none" w:sz="0" w:space="0" w:color="auto"/>
      </w:divBdr>
    </w:div>
    <w:div w:id="250703961">
      <w:bodyDiv w:val="1"/>
      <w:marLeft w:val="0"/>
      <w:marRight w:val="0"/>
      <w:marTop w:val="0"/>
      <w:marBottom w:val="0"/>
      <w:divBdr>
        <w:top w:val="none" w:sz="0" w:space="0" w:color="auto"/>
        <w:left w:val="none" w:sz="0" w:space="0" w:color="auto"/>
        <w:bottom w:val="none" w:sz="0" w:space="0" w:color="auto"/>
        <w:right w:val="none" w:sz="0" w:space="0" w:color="auto"/>
      </w:divBdr>
    </w:div>
    <w:div w:id="252322885">
      <w:bodyDiv w:val="1"/>
      <w:marLeft w:val="0"/>
      <w:marRight w:val="0"/>
      <w:marTop w:val="0"/>
      <w:marBottom w:val="0"/>
      <w:divBdr>
        <w:top w:val="none" w:sz="0" w:space="0" w:color="auto"/>
        <w:left w:val="none" w:sz="0" w:space="0" w:color="auto"/>
        <w:bottom w:val="none" w:sz="0" w:space="0" w:color="auto"/>
        <w:right w:val="none" w:sz="0" w:space="0" w:color="auto"/>
      </w:divBdr>
      <w:divsChild>
        <w:div w:id="796724582">
          <w:marLeft w:val="547"/>
          <w:marRight w:val="0"/>
          <w:marTop w:val="0"/>
          <w:marBottom w:val="0"/>
          <w:divBdr>
            <w:top w:val="none" w:sz="0" w:space="0" w:color="auto"/>
            <w:left w:val="none" w:sz="0" w:space="0" w:color="auto"/>
            <w:bottom w:val="none" w:sz="0" w:space="0" w:color="auto"/>
            <w:right w:val="none" w:sz="0" w:space="0" w:color="auto"/>
          </w:divBdr>
        </w:div>
      </w:divsChild>
    </w:div>
    <w:div w:id="258149289">
      <w:bodyDiv w:val="1"/>
      <w:marLeft w:val="0"/>
      <w:marRight w:val="0"/>
      <w:marTop w:val="0"/>
      <w:marBottom w:val="0"/>
      <w:divBdr>
        <w:top w:val="none" w:sz="0" w:space="0" w:color="auto"/>
        <w:left w:val="none" w:sz="0" w:space="0" w:color="auto"/>
        <w:bottom w:val="none" w:sz="0" w:space="0" w:color="auto"/>
        <w:right w:val="none" w:sz="0" w:space="0" w:color="auto"/>
      </w:divBdr>
    </w:div>
    <w:div w:id="267615759">
      <w:bodyDiv w:val="1"/>
      <w:marLeft w:val="0"/>
      <w:marRight w:val="0"/>
      <w:marTop w:val="0"/>
      <w:marBottom w:val="0"/>
      <w:divBdr>
        <w:top w:val="none" w:sz="0" w:space="0" w:color="auto"/>
        <w:left w:val="none" w:sz="0" w:space="0" w:color="auto"/>
        <w:bottom w:val="none" w:sz="0" w:space="0" w:color="auto"/>
        <w:right w:val="none" w:sz="0" w:space="0" w:color="auto"/>
      </w:divBdr>
    </w:div>
    <w:div w:id="269090861">
      <w:bodyDiv w:val="1"/>
      <w:marLeft w:val="0"/>
      <w:marRight w:val="0"/>
      <w:marTop w:val="0"/>
      <w:marBottom w:val="0"/>
      <w:divBdr>
        <w:top w:val="none" w:sz="0" w:space="0" w:color="auto"/>
        <w:left w:val="none" w:sz="0" w:space="0" w:color="auto"/>
        <w:bottom w:val="none" w:sz="0" w:space="0" w:color="auto"/>
        <w:right w:val="none" w:sz="0" w:space="0" w:color="auto"/>
      </w:divBdr>
    </w:div>
    <w:div w:id="282462405">
      <w:bodyDiv w:val="1"/>
      <w:marLeft w:val="0"/>
      <w:marRight w:val="0"/>
      <w:marTop w:val="0"/>
      <w:marBottom w:val="0"/>
      <w:divBdr>
        <w:top w:val="none" w:sz="0" w:space="0" w:color="auto"/>
        <w:left w:val="none" w:sz="0" w:space="0" w:color="auto"/>
        <w:bottom w:val="none" w:sz="0" w:space="0" w:color="auto"/>
        <w:right w:val="none" w:sz="0" w:space="0" w:color="auto"/>
      </w:divBdr>
    </w:div>
    <w:div w:id="293945743">
      <w:bodyDiv w:val="1"/>
      <w:marLeft w:val="0"/>
      <w:marRight w:val="0"/>
      <w:marTop w:val="0"/>
      <w:marBottom w:val="0"/>
      <w:divBdr>
        <w:top w:val="none" w:sz="0" w:space="0" w:color="auto"/>
        <w:left w:val="none" w:sz="0" w:space="0" w:color="auto"/>
        <w:bottom w:val="none" w:sz="0" w:space="0" w:color="auto"/>
        <w:right w:val="none" w:sz="0" w:space="0" w:color="auto"/>
      </w:divBdr>
    </w:div>
    <w:div w:id="294333089">
      <w:bodyDiv w:val="1"/>
      <w:marLeft w:val="0"/>
      <w:marRight w:val="0"/>
      <w:marTop w:val="0"/>
      <w:marBottom w:val="0"/>
      <w:divBdr>
        <w:top w:val="none" w:sz="0" w:space="0" w:color="auto"/>
        <w:left w:val="none" w:sz="0" w:space="0" w:color="auto"/>
        <w:bottom w:val="none" w:sz="0" w:space="0" w:color="auto"/>
        <w:right w:val="none" w:sz="0" w:space="0" w:color="auto"/>
      </w:divBdr>
    </w:div>
    <w:div w:id="294986721">
      <w:bodyDiv w:val="1"/>
      <w:marLeft w:val="0"/>
      <w:marRight w:val="0"/>
      <w:marTop w:val="0"/>
      <w:marBottom w:val="0"/>
      <w:divBdr>
        <w:top w:val="none" w:sz="0" w:space="0" w:color="auto"/>
        <w:left w:val="none" w:sz="0" w:space="0" w:color="auto"/>
        <w:bottom w:val="none" w:sz="0" w:space="0" w:color="auto"/>
        <w:right w:val="none" w:sz="0" w:space="0" w:color="auto"/>
      </w:divBdr>
    </w:div>
    <w:div w:id="302580888">
      <w:bodyDiv w:val="1"/>
      <w:marLeft w:val="0"/>
      <w:marRight w:val="0"/>
      <w:marTop w:val="0"/>
      <w:marBottom w:val="0"/>
      <w:divBdr>
        <w:top w:val="none" w:sz="0" w:space="0" w:color="auto"/>
        <w:left w:val="none" w:sz="0" w:space="0" w:color="auto"/>
        <w:bottom w:val="none" w:sz="0" w:space="0" w:color="auto"/>
        <w:right w:val="none" w:sz="0" w:space="0" w:color="auto"/>
      </w:divBdr>
    </w:div>
    <w:div w:id="304550517">
      <w:bodyDiv w:val="1"/>
      <w:marLeft w:val="0"/>
      <w:marRight w:val="0"/>
      <w:marTop w:val="0"/>
      <w:marBottom w:val="0"/>
      <w:divBdr>
        <w:top w:val="none" w:sz="0" w:space="0" w:color="auto"/>
        <w:left w:val="none" w:sz="0" w:space="0" w:color="auto"/>
        <w:bottom w:val="none" w:sz="0" w:space="0" w:color="auto"/>
        <w:right w:val="none" w:sz="0" w:space="0" w:color="auto"/>
      </w:divBdr>
    </w:div>
    <w:div w:id="312948804">
      <w:bodyDiv w:val="1"/>
      <w:marLeft w:val="0"/>
      <w:marRight w:val="0"/>
      <w:marTop w:val="0"/>
      <w:marBottom w:val="0"/>
      <w:divBdr>
        <w:top w:val="none" w:sz="0" w:space="0" w:color="auto"/>
        <w:left w:val="none" w:sz="0" w:space="0" w:color="auto"/>
        <w:bottom w:val="none" w:sz="0" w:space="0" w:color="auto"/>
        <w:right w:val="none" w:sz="0" w:space="0" w:color="auto"/>
      </w:divBdr>
    </w:div>
    <w:div w:id="339353911">
      <w:bodyDiv w:val="1"/>
      <w:marLeft w:val="0"/>
      <w:marRight w:val="0"/>
      <w:marTop w:val="0"/>
      <w:marBottom w:val="0"/>
      <w:divBdr>
        <w:top w:val="none" w:sz="0" w:space="0" w:color="auto"/>
        <w:left w:val="none" w:sz="0" w:space="0" w:color="auto"/>
        <w:bottom w:val="none" w:sz="0" w:space="0" w:color="auto"/>
        <w:right w:val="none" w:sz="0" w:space="0" w:color="auto"/>
      </w:divBdr>
    </w:div>
    <w:div w:id="339436139">
      <w:bodyDiv w:val="1"/>
      <w:marLeft w:val="0"/>
      <w:marRight w:val="0"/>
      <w:marTop w:val="0"/>
      <w:marBottom w:val="0"/>
      <w:divBdr>
        <w:top w:val="none" w:sz="0" w:space="0" w:color="auto"/>
        <w:left w:val="none" w:sz="0" w:space="0" w:color="auto"/>
        <w:bottom w:val="none" w:sz="0" w:space="0" w:color="auto"/>
        <w:right w:val="none" w:sz="0" w:space="0" w:color="auto"/>
      </w:divBdr>
    </w:div>
    <w:div w:id="342633987">
      <w:bodyDiv w:val="1"/>
      <w:marLeft w:val="0"/>
      <w:marRight w:val="0"/>
      <w:marTop w:val="0"/>
      <w:marBottom w:val="0"/>
      <w:divBdr>
        <w:top w:val="none" w:sz="0" w:space="0" w:color="auto"/>
        <w:left w:val="none" w:sz="0" w:space="0" w:color="auto"/>
        <w:bottom w:val="none" w:sz="0" w:space="0" w:color="auto"/>
        <w:right w:val="none" w:sz="0" w:space="0" w:color="auto"/>
      </w:divBdr>
      <w:divsChild>
        <w:div w:id="306711233">
          <w:marLeft w:val="0"/>
          <w:marRight w:val="0"/>
          <w:marTop w:val="0"/>
          <w:marBottom w:val="0"/>
          <w:divBdr>
            <w:top w:val="none" w:sz="0" w:space="0" w:color="auto"/>
            <w:left w:val="none" w:sz="0" w:space="0" w:color="auto"/>
            <w:bottom w:val="none" w:sz="0" w:space="0" w:color="auto"/>
            <w:right w:val="none" w:sz="0" w:space="0" w:color="auto"/>
          </w:divBdr>
          <w:divsChild>
            <w:div w:id="589582088">
              <w:marLeft w:val="0"/>
              <w:marRight w:val="0"/>
              <w:marTop w:val="0"/>
              <w:marBottom w:val="0"/>
              <w:divBdr>
                <w:top w:val="none" w:sz="0" w:space="0" w:color="auto"/>
                <w:left w:val="none" w:sz="0" w:space="0" w:color="auto"/>
                <w:bottom w:val="none" w:sz="0" w:space="0" w:color="auto"/>
                <w:right w:val="none" w:sz="0" w:space="0" w:color="auto"/>
              </w:divBdr>
              <w:divsChild>
                <w:div w:id="1576354751">
                  <w:marLeft w:val="0"/>
                  <w:marRight w:val="0"/>
                  <w:marTop w:val="0"/>
                  <w:marBottom w:val="0"/>
                  <w:divBdr>
                    <w:top w:val="none" w:sz="0" w:space="0" w:color="auto"/>
                    <w:left w:val="none" w:sz="0" w:space="0" w:color="auto"/>
                    <w:bottom w:val="none" w:sz="0" w:space="0" w:color="auto"/>
                    <w:right w:val="none" w:sz="0" w:space="0" w:color="auto"/>
                  </w:divBdr>
                  <w:divsChild>
                    <w:div w:id="187064849">
                      <w:marLeft w:val="0"/>
                      <w:marRight w:val="0"/>
                      <w:marTop w:val="0"/>
                      <w:marBottom w:val="0"/>
                      <w:divBdr>
                        <w:top w:val="none" w:sz="0" w:space="0" w:color="auto"/>
                        <w:left w:val="none" w:sz="0" w:space="0" w:color="auto"/>
                        <w:bottom w:val="none" w:sz="0" w:space="0" w:color="auto"/>
                        <w:right w:val="none" w:sz="0" w:space="0" w:color="auto"/>
                      </w:divBdr>
                      <w:divsChild>
                        <w:div w:id="1167867425">
                          <w:marLeft w:val="0"/>
                          <w:marRight w:val="0"/>
                          <w:marTop w:val="0"/>
                          <w:marBottom w:val="420"/>
                          <w:divBdr>
                            <w:top w:val="none" w:sz="0" w:space="0" w:color="auto"/>
                            <w:left w:val="none" w:sz="0" w:space="0" w:color="auto"/>
                            <w:bottom w:val="none" w:sz="0" w:space="0" w:color="auto"/>
                            <w:right w:val="none" w:sz="0" w:space="0" w:color="auto"/>
                          </w:divBdr>
                          <w:divsChild>
                            <w:div w:id="111944164">
                              <w:marLeft w:val="0"/>
                              <w:marRight w:val="0"/>
                              <w:marTop w:val="0"/>
                              <w:marBottom w:val="0"/>
                              <w:divBdr>
                                <w:top w:val="none" w:sz="0" w:space="0" w:color="auto"/>
                                <w:left w:val="none" w:sz="0" w:space="0" w:color="auto"/>
                                <w:bottom w:val="none" w:sz="0" w:space="0" w:color="auto"/>
                                <w:right w:val="none" w:sz="0" w:space="0" w:color="auto"/>
                              </w:divBdr>
                              <w:divsChild>
                                <w:div w:id="757563157">
                                  <w:marLeft w:val="0"/>
                                  <w:marRight w:val="0"/>
                                  <w:marTop w:val="0"/>
                                  <w:marBottom w:val="420"/>
                                  <w:divBdr>
                                    <w:top w:val="none" w:sz="0" w:space="0" w:color="auto"/>
                                    <w:left w:val="none" w:sz="0" w:space="0" w:color="auto"/>
                                    <w:bottom w:val="none" w:sz="0" w:space="0" w:color="auto"/>
                                    <w:right w:val="none" w:sz="0" w:space="0" w:color="auto"/>
                                  </w:divBdr>
                                  <w:divsChild>
                                    <w:div w:id="24491790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273118">
      <w:bodyDiv w:val="1"/>
      <w:marLeft w:val="0"/>
      <w:marRight w:val="0"/>
      <w:marTop w:val="0"/>
      <w:marBottom w:val="0"/>
      <w:divBdr>
        <w:top w:val="none" w:sz="0" w:space="0" w:color="auto"/>
        <w:left w:val="none" w:sz="0" w:space="0" w:color="auto"/>
        <w:bottom w:val="none" w:sz="0" w:space="0" w:color="auto"/>
        <w:right w:val="none" w:sz="0" w:space="0" w:color="auto"/>
      </w:divBdr>
    </w:div>
    <w:div w:id="356320661">
      <w:bodyDiv w:val="1"/>
      <w:marLeft w:val="0"/>
      <w:marRight w:val="0"/>
      <w:marTop w:val="0"/>
      <w:marBottom w:val="0"/>
      <w:divBdr>
        <w:top w:val="none" w:sz="0" w:space="0" w:color="auto"/>
        <w:left w:val="none" w:sz="0" w:space="0" w:color="auto"/>
        <w:bottom w:val="none" w:sz="0" w:space="0" w:color="auto"/>
        <w:right w:val="none" w:sz="0" w:space="0" w:color="auto"/>
      </w:divBdr>
      <w:divsChild>
        <w:div w:id="305938497">
          <w:marLeft w:val="0"/>
          <w:marRight w:val="0"/>
          <w:marTop w:val="0"/>
          <w:marBottom w:val="0"/>
          <w:divBdr>
            <w:top w:val="none" w:sz="0" w:space="0" w:color="auto"/>
            <w:left w:val="none" w:sz="0" w:space="0" w:color="auto"/>
            <w:bottom w:val="none" w:sz="0" w:space="0" w:color="auto"/>
            <w:right w:val="none" w:sz="0" w:space="0" w:color="auto"/>
          </w:divBdr>
          <w:divsChild>
            <w:div w:id="889682296">
              <w:marLeft w:val="0"/>
              <w:marRight w:val="0"/>
              <w:marTop w:val="0"/>
              <w:marBottom w:val="0"/>
              <w:divBdr>
                <w:top w:val="none" w:sz="0" w:space="0" w:color="auto"/>
                <w:left w:val="none" w:sz="0" w:space="0" w:color="auto"/>
                <w:bottom w:val="none" w:sz="0" w:space="0" w:color="auto"/>
                <w:right w:val="none" w:sz="0" w:space="0" w:color="auto"/>
              </w:divBdr>
              <w:divsChild>
                <w:div w:id="500856321">
                  <w:marLeft w:val="0"/>
                  <w:marRight w:val="0"/>
                  <w:marTop w:val="0"/>
                  <w:marBottom w:val="0"/>
                  <w:divBdr>
                    <w:top w:val="none" w:sz="0" w:space="0" w:color="auto"/>
                    <w:left w:val="none" w:sz="0" w:space="0" w:color="auto"/>
                    <w:bottom w:val="none" w:sz="0" w:space="0" w:color="auto"/>
                    <w:right w:val="none" w:sz="0" w:space="0" w:color="auto"/>
                  </w:divBdr>
                  <w:divsChild>
                    <w:div w:id="15743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35000">
      <w:bodyDiv w:val="1"/>
      <w:marLeft w:val="0"/>
      <w:marRight w:val="0"/>
      <w:marTop w:val="0"/>
      <w:marBottom w:val="0"/>
      <w:divBdr>
        <w:top w:val="none" w:sz="0" w:space="0" w:color="auto"/>
        <w:left w:val="none" w:sz="0" w:space="0" w:color="auto"/>
        <w:bottom w:val="none" w:sz="0" w:space="0" w:color="auto"/>
        <w:right w:val="none" w:sz="0" w:space="0" w:color="auto"/>
      </w:divBdr>
    </w:div>
    <w:div w:id="375357168">
      <w:bodyDiv w:val="1"/>
      <w:marLeft w:val="0"/>
      <w:marRight w:val="0"/>
      <w:marTop w:val="0"/>
      <w:marBottom w:val="0"/>
      <w:divBdr>
        <w:top w:val="none" w:sz="0" w:space="0" w:color="auto"/>
        <w:left w:val="none" w:sz="0" w:space="0" w:color="auto"/>
        <w:bottom w:val="none" w:sz="0" w:space="0" w:color="auto"/>
        <w:right w:val="none" w:sz="0" w:space="0" w:color="auto"/>
      </w:divBdr>
      <w:divsChild>
        <w:div w:id="313922785">
          <w:marLeft w:val="0"/>
          <w:marRight w:val="0"/>
          <w:marTop w:val="0"/>
          <w:marBottom w:val="0"/>
          <w:divBdr>
            <w:top w:val="none" w:sz="0" w:space="0" w:color="auto"/>
            <w:left w:val="none" w:sz="0" w:space="0" w:color="auto"/>
            <w:bottom w:val="none" w:sz="0" w:space="0" w:color="auto"/>
            <w:right w:val="none" w:sz="0" w:space="0" w:color="auto"/>
          </w:divBdr>
          <w:divsChild>
            <w:div w:id="1796872010">
              <w:marLeft w:val="0"/>
              <w:marRight w:val="0"/>
              <w:marTop w:val="0"/>
              <w:marBottom w:val="0"/>
              <w:divBdr>
                <w:top w:val="none" w:sz="0" w:space="0" w:color="auto"/>
                <w:left w:val="none" w:sz="0" w:space="0" w:color="auto"/>
                <w:bottom w:val="none" w:sz="0" w:space="0" w:color="auto"/>
                <w:right w:val="none" w:sz="0" w:space="0" w:color="auto"/>
              </w:divBdr>
              <w:divsChild>
                <w:div w:id="1278952973">
                  <w:marLeft w:val="0"/>
                  <w:marRight w:val="0"/>
                  <w:marTop w:val="0"/>
                  <w:marBottom w:val="0"/>
                  <w:divBdr>
                    <w:top w:val="none" w:sz="0" w:space="0" w:color="auto"/>
                    <w:left w:val="none" w:sz="0" w:space="0" w:color="auto"/>
                    <w:bottom w:val="none" w:sz="0" w:space="0" w:color="auto"/>
                    <w:right w:val="none" w:sz="0" w:space="0" w:color="auto"/>
                  </w:divBdr>
                  <w:divsChild>
                    <w:div w:id="1650473106">
                      <w:marLeft w:val="0"/>
                      <w:marRight w:val="0"/>
                      <w:marTop w:val="0"/>
                      <w:marBottom w:val="0"/>
                      <w:divBdr>
                        <w:top w:val="dotted" w:sz="2" w:space="0" w:color="CCCCCC"/>
                        <w:left w:val="dotted" w:sz="2" w:space="0" w:color="CCCCCC"/>
                        <w:bottom w:val="dotted" w:sz="2" w:space="0" w:color="CCCCCC"/>
                        <w:right w:val="dotted" w:sz="2" w:space="0" w:color="CCCCCC"/>
                      </w:divBdr>
                      <w:divsChild>
                        <w:div w:id="363797875">
                          <w:marLeft w:val="0"/>
                          <w:marRight w:val="0"/>
                          <w:marTop w:val="0"/>
                          <w:marBottom w:val="207"/>
                          <w:divBdr>
                            <w:top w:val="single" w:sz="4" w:space="5" w:color="EEE3C0"/>
                            <w:left w:val="single" w:sz="4" w:space="5" w:color="EEE3C0"/>
                            <w:bottom w:val="single" w:sz="4" w:space="5" w:color="EEE3C0"/>
                            <w:right w:val="single" w:sz="4" w:space="5" w:color="EEE3C0"/>
                          </w:divBdr>
                          <w:divsChild>
                            <w:div w:id="1951617621">
                              <w:marLeft w:val="0"/>
                              <w:marRight w:val="0"/>
                              <w:marTop w:val="0"/>
                              <w:marBottom w:val="0"/>
                              <w:divBdr>
                                <w:top w:val="none" w:sz="0" w:space="0" w:color="auto"/>
                                <w:left w:val="none" w:sz="0" w:space="0" w:color="auto"/>
                                <w:bottom w:val="none" w:sz="0" w:space="0" w:color="auto"/>
                                <w:right w:val="none" w:sz="0" w:space="0" w:color="auto"/>
                              </w:divBdr>
                              <w:divsChild>
                                <w:div w:id="1662809383">
                                  <w:marLeft w:val="0"/>
                                  <w:marRight w:val="0"/>
                                  <w:marTop w:val="0"/>
                                  <w:marBottom w:val="0"/>
                                  <w:divBdr>
                                    <w:top w:val="none" w:sz="0" w:space="0" w:color="auto"/>
                                    <w:left w:val="none" w:sz="0" w:space="0" w:color="auto"/>
                                    <w:bottom w:val="none" w:sz="0" w:space="0" w:color="auto"/>
                                    <w:right w:val="none" w:sz="0" w:space="0" w:color="auto"/>
                                  </w:divBdr>
                                  <w:divsChild>
                                    <w:div w:id="1195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75966">
      <w:bodyDiv w:val="1"/>
      <w:marLeft w:val="0"/>
      <w:marRight w:val="0"/>
      <w:marTop w:val="0"/>
      <w:marBottom w:val="0"/>
      <w:divBdr>
        <w:top w:val="none" w:sz="0" w:space="0" w:color="auto"/>
        <w:left w:val="none" w:sz="0" w:space="0" w:color="auto"/>
        <w:bottom w:val="none" w:sz="0" w:space="0" w:color="auto"/>
        <w:right w:val="none" w:sz="0" w:space="0" w:color="auto"/>
      </w:divBdr>
      <w:divsChild>
        <w:div w:id="439684724">
          <w:marLeft w:val="0"/>
          <w:marRight w:val="0"/>
          <w:marTop w:val="0"/>
          <w:marBottom w:val="0"/>
          <w:divBdr>
            <w:top w:val="none" w:sz="0" w:space="0" w:color="auto"/>
            <w:left w:val="none" w:sz="0" w:space="0" w:color="auto"/>
            <w:bottom w:val="none" w:sz="0" w:space="0" w:color="auto"/>
            <w:right w:val="none" w:sz="0" w:space="0" w:color="auto"/>
          </w:divBdr>
          <w:divsChild>
            <w:div w:id="1124470232">
              <w:marLeft w:val="0"/>
              <w:marRight w:val="0"/>
              <w:marTop w:val="0"/>
              <w:marBottom w:val="0"/>
              <w:divBdr>
                <w:top w:val="none" w:sz="0" w:space="0" w:color="auto"/>
                <w:left w:val="none" w:sz="0" w:space="0" w:color="auto"/>
                <w:bottom w:val="none" w:sz="0" w:space="0" w:color="auto"/>
                <w:right w:val="none" w:sz="0" w:space="0" w:color="auto"/>
              </w:divBdr>
              <w:divsChild>
                <w:div w:id="745420298">
                  <w:marLeft w:val="0"/>
                  <w:marRight w:val="0"/>
                  <w:marTop w:val="0"/>
                  <w:marBottom w:val="0"/>
                  <w:divBdr>
                    <w:top w:val="none" w:sz="0" w:space="0" w:color="auto"/>
                    <w:left w:val="none" w:sz="0" w:space="0" w:color="auto"/>
                    <w:bottom w:val="none" w:sz="0" w:space="0" w:color="auto"/>
                    <w:right w:val="none" w:sz="0" w:space="0" w:color="auto"/>
                  </w:divBdr>
                  <w:divsChild>
                    <w:div w:id="1602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88764">
      <w:bodyDiv w:val="1"/>
      <w:marLeft w:val="0"/>
      <w:marRight w:val="0"/>
      <w:marTop w:val="0"/>
      <w:marBottom w:val="0"/>
      <w:divBdr>
        <w:top w:val="none" w:sz="0" w:space="0" w:color="auto"/>
        <w:left w:val="none" w:sz="0" w:space="0" w:color="auto"/>
        <w:bottom w:val="none" w:sz="0" w:space="0" w:color="auto"/>
        <w:right w:val="none" w:sz="0" w:space="0" w:color="auto"/>
      </w:divBdr>
    </w:div>
    <w:div w:id="414132532">
      <w:bodyDiv w:val="1"/>
      <w:marLeft w:val="0"/>
      <w:marRight w:val="0"/>
      <w:marTop w:val="0"/>
      <w:marBottom w:val="0"/>
      <w:divBdr>
        <w:top w:val="none" w:sz="0" w:space="0" w:color="auto"/>
        <w:left w:val="none" w:sz="0" w:space="0" w:color="auto"/>
        <w:bottom w:val="none" w:sz="0" w:space="0" w:color="auto"/>
        <w:right w:val="none" w:sz="0" w:space="0" w:color="auto"/>
      </w:divBdr>
    </w:div>
    <w:div w:id="414592700">
      <w:bodyDiv w:val="1"/>
      <w:marLeft w:val="0"/>
      <w:marRight w:val="0"/>
      <w:marTop w:val="0"/>
      <w:marBottom w:val="0"/>
      <w:divBdr>
        <w:top w:val="none" w:sz="0" w:space="0" w:color="auto"/>
        <w:left w:val="none" w:sz="0" w:space="0" w:color="auto"/>
        <w:bottom w:val="none" w:sz="0" w:space="0" w:color="auto"/>
        <w:right w:val="none" w:sz="0" w:space="0" w:color="auto"/>
      </w:divBdr>
    </w:div>
    <w:div w:id="417824650">
      <w:bodyDiv w:val="1"/>
      <w:marLeft w:val="0"/>
      <w:marRight w:val="0"/>
      <w:marTop w:val="0"/>
      <w:marBottom w:val="0"/>
      <w:divBdr>
        <w:top w:val="none" w:sz="0" w:space="0" w:color="auto"/>
        <w:left w:val="none" w:sz="0" w:space="0" w:color="auto"/>
        <w:bottom w:val="none" w:sz="0" w:space="0" w:color="auto"/>
        <w:right w:val="none" w:sz="0" w:space="0" w:color="auto"/>
      </w:divBdr>
    </w:div>
    <w:div w:id="417990612">
      <w:bodyDiv w:val="1"/>
      <w:marLeft w:val="0"/>
      <w:marRight w:val="0"/>
      <w:marTop w:val="0"/>
      <w:marBottom w:val="0"/>
      <w:divBdr>
        <w:top w:val="none" w:sz="0" w:space="0" w:color="auto"/>
        <w:left w:val="none" w:sz="0" w:space="0" w:color="auto"/>
        <w:bottom w:val="none" w:sz="0" w:space="0" w:color="auto"/>
        <w:right w:val="none" w:sz="0" w:space="0" w:color="auto"/>
      </w:divBdr>
    </w:div>
    <w:div w:id="424308038">
      <w:bodyDiv w:val="1"/>
      <w:marLeft w:val="0"/>
      <w:marRight w:val="0"/>
      <w:marTop w:val="0"/>
      <w:marBottom w:val="0"/>
      <w:divBdr>
        <w:top w:val="none" w:sz="0" w:space="0" w:color="auto"/>
        <w:left w:val="none" w:sz="0" w:space="0" w:color="auto"/>
        <w:bottom w:val="none" w:sz="0" w:space="0" w:color="auto"/>
        <w:right w:val="none" w:sz="0" w:space="0" w:color="auto"/>
      </w:divBdr>
    </w:div>
    <w:div w:id="427118806">
      <w:bodyDiv w:val="1"/>
      <w:marLeft w:val="0"/>
      <w:marRight w:val="0"/>
      <w:marTop w:val="0"/>
      <w:marBottom w:val="0"/>
      <w:divBdr>
        <w:top w:val="none" w:sz="0" w:space="0" w:color="auto"/>
        <w:left w:val="none" w:sz="0" w:space="0" w:color="auto"/>
        <w:bottom w:val="none" w:sz="0" w:space="0" w:color="auto"/>
        <w:right w:val="none" w:sz="0" w:space="0" w:color="auto"/>
      </w:divBdr>
    </w:div>
    <w:div w:id="427392029">
      <w:bodyDiv w:val="1"/>
      <w:marLeft w:val="0"/>
      <w:marRight w:val="0"/>
      <w:marTop w:val="0"/>
      <w:marBottom w:val="0"/>
      <w:divBdr>
        <w:top w:val="none" w:sz="0" w:space="0" w:color="auto"/>
        <w:left w:val="none" w:sz="0" w:space="0" w:color="auto"/>
        <w:bottom w:val="none" w:sz="0" w:space="0" w:color="auto"/>
        <w:right w:val="none" w:sz="0" w:space="0" w:color="auto"/>
      </w:divBdr>
    </w:div>
    <w:div w:id="427888811">
      <w:bodyDiv w:val="1"/>
      <w:marLeft w:val="0"/>
      <w:marRight w:val="0"/>
      <w:marTop w:val="0"/>
      <w:marBottom w:val="0"/>
      <w:divBdr>
        <w:top w:val="none" w:sz="0" w:space="0" w:color="auto"/>
        <w:left w:val="none" w:sz="0" w:space="0" w:color="auto"/>
        <w:bottom w:val="none" w:sz="0" w:space="0" w:color="auto"/>
        <w:right w:val="none" w:sz="0" w:space="0" w:color="auto"/>
      </w:divBdr>
    </w:div>
    <w:div w:id="433207635">
      <w:bodyDiv w:val="1"/>
      <w:marLeft w:val="0"/>
      <w:marRight w:val="0"/>
      <w:marTop w:val="0"/>
      <w:marBottom w:val="0"/>
      <w:divBdr>
        <w:top w:val="none" w:sz="0" w:space="0" w:color="auto"/>
        <w:left w:val="none" w:sz="0" w:space="0" w:color="auto"/>
        <w:bottom w:val="none" w:sz="0" w:space="0" w:color="auto"/>
        <w:right w:val="none" w:sz="0" w:space="0" w:color="auto"/>
      </w:divBdr>
    </w:div>
    <w:div w:id="439105809">
      <w:bodyDiv w:val="1"/>
      <w:marLeft w:val="0"/>
      <w:marRight w:val="0"/>
      <w:marTop w:val="0"/>
      <w:marBottom w:val="0"/>
      <w:divBdr>
        <w:top w:val="none" w:sz="0" w:space="0" w:color="auto"/>
        <w:left w:val="none" w:sz="0" w:space="0" w:color="auto"/>
        <w:bottom w:val="none" w:sz="0" w:space="0" w:color="auto"/>
        <w:right w:val="none" w:sz="0" w:space="0" w:color="auto"/>
      </w:divBdr>
    </w:div>
    <w:div w:id="445081629">
      <w:bodyDiv w:val="1"/>
      <w:marLeft w:val="0"/>
      <w:marRight w:val="0"/>
      <w:marTop w:val="0"/>
      <w:marBottom w:val="0"/>
      <w:divBdr>
        <w:top w:val="none" w:sz="0" w:space="0" w:color="auto"/>
        <w:left w:val="none" w:sz="0" w:space="0" w:color="auto"/>
        <w:bottom w:val="none" w:sz="0" w:space="0" w:color="auto"/>
        <w:right w:val="none" w:sz="0" w:space="0" w:color="auto"/>
      </w:divBdr>
      <w:divsChild>
        <w:div w:id="154760981">
          <w:marLeft w:val="0"/>
          <w:marRight w:val="0"/>
          <w:marTop w:val="0"/>
          <w:marBottom w:val="0"/>
          <w:divBdr>
            <w:top w:val="none" w:sz="0" w:space="0" w:color="auto"/>
            <w:left w:val="none" w:sz="0" w:space="0" w:color="auto"/>
            <w:bottom w:val="none" w:sz="0" w:space="0" w:color="auto"/>
            <w:right w:val="none" w:sz="0" w:space="0" w:color="auto"/>
          </w:divBdr>
          <w:divsChild>
            <w:div w:id="1114325657">
              <w:marLeft w:val="0"/>
              <w:marRight w:val="0"/>
              <w:marTop w:val="0"/>
              <w:marBottom w:val="0"/>
              <w:divBdr>
                <w:top w:val="none" w:sz="0" w:space="0" w:color="auto"/>
                <w:left w:val="none" w:sz="0" w:space="0" w:color="auto"/>
                <w:bottom w:val="none" w:sz="0" w:space="0" w:color="auto"/>
                <w:right w:val="none" w:sz="0" w:space="0" w:color="auto"/>
              </w:divBdr>
              <w:divsChild>
                <w:div w:id="1440296521">
                  <w:marLeft w:val="0"/>
                  <w:marRight w:val="0"/>
                  <w:marTop w:val="0"/>
                  <w:marBottom w:val="0"/>
                  <w:divBdr>
                    <w:top w:val="none" w:sz="0" w:space="0" w:color="auto"/>
                    <w:left w:val="none" w:sz="0" w:space="0" w:color="auto"/>
                    <w:bottom w:val="none" w:sz="0" w:space="0" w:color="auto"/>
                    <w:right w:val="none" w:sz="0" w:space="0" w:color="auto"/>
                  </w:divBdr>
                  <w:divsChild>
                    <w:div w:id="1744135551">
                      <w:marLeft w:val="0"/>
                      <w:marRight w:val="0"/>
                      <w:marTop w:val="0"/>
                      <w:marBottom w:val="0"/>
                      <w:divBdr>
                        <w:top w:val="dotted" w:sz="2" w:space="0" w:color="CCCCCC"/>
                        <w:left w:val="dotted" w:sz="2" w:space="0" w:color="CCCCCC"/>
                        <w:bottom w:val="dotted" w:sz="2" w:space="0" w:color="CCCCCC"/>
                        <w:right w:val="dotted" w:sz="2" w:space="0" w:color="CCCCCC"/>
                      </w:divBdr>
                      <w:divsChild>
                        <w:div w:id="1757481213">
                          <w:marLeft w:val="0"/>
                          <w:marRight w:val="0"/>
                          <w:marTop w:val="0"/>
                          <w:marBottom w:val="207"/>
                          <w:divBdr>
                            <w:top w:val="single" w:sz="4" w:space="5" w:color="EEE3C0"/>
                            <w:left w:val="single" w:sz="4" w:space="5" w:color="EEE3C0"/>
                            <w:bottom w:val="single" w:sz="4" w:space="5" w:color="EEE3C0"/>
                            <w:right w:val="single" w:sz="4" w:space="5" w:color="EEE3C0"/>
                          </w:divBdr>
                          <w:divsChild>
                            <w:div w:id="984431319">
                              <w:marLeft w:val="0"/>
                              <w:marRight w:val="0"/>
                              <w:marTop w:val="0"/>
                              <w:marBottom w:val="0"/>
                              <w:divBdr>
                                <w:top w:val="none" w:sz="0" w:space="0" w:color="auto"/>
                                <w:left w:val="none" w:sz="0" w:space="0" w:color="auto"/>
                                <w:bottom w:val="none" w:sz="0" w:space="0" w:color="auto"/>
                                <w:right w:val="none" w:sz="0" w:space="0" w:color="auto"/>
                              </w:divBdr>
                              <w:divsChild>
                                <w:div w:id="996346458">
                                  <w:marLeft w:val="0"/>
                                  <w:marRight w:val="0"/>
                                  <w:marTop w:val="0"/>
                                  <w:marBottom w:val="0"/>
                                  <w:divBdr>
                                    <w:top w:val="none" w:sz="0" w:space="0" w:color="auto"/>
                                    <w:left w:val="none" w:sz="0" w:space="0" w:color="auto"/>
                                    <w:bottom w:val="none" w:sz="0" w:space="0" w:color="auto"/>
                                    <w:right w:val="none" w:sz="0" w:space="0" w:color="auto"/>
                                  </w:divBdr>
                                  <w:divsChild>
                                    <w:div w:id="10061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748227">
      <w:bodyDiv w:val="1"/>
      <w:marLeft w:val="0"/>
      <w:marRight w:val="0"/>
      <w:marTop w:val="0"/>
      <w:marBottom w:val="0"/>
      <w:divBdr>
        <w:top w:val="none" w:sz="0" w:space="0" w:color="auto"/>
        <w:left w:val="none" w:sz="0" w:space="0" w:color="auto"/>
        <w:bottom w:val="none" w:sz="0" w:space="0" w:color="auto"/>
        <w:right w:val="none" w:sz="0" w:space="0" w:color="auto"/>
      </w:divBdr>
    </w:div>
    <w:div w:id="450174836">
      <w:bodyDiv w:val="1"/>
      <w:marLeft w:val="0"/>
      <w:marRight w:val="0"/>
      <w:marTop w:val="0"/>
      <w:marBottom w:val="0"/>
      <w:divBdr>
        <w:top w:val="none" w:sz="0" w:space="0" w:color="auto"/>
        <w:left w:val="none" w:sz="0" w:space="0" w:color="auto"/>
        <w:bottom w:val="none" w:sz="0" w:space="0" w:color="auto"/>
        <w:right w:val="none" w:sz="0" w:space="0" w:color="auto"/>
      </w:divBdr>
    </w:div>
    <w:div w:id="450786807">
      <w:bodyDiv w:val="1"/>
      <w:marLeft w:val="0"/>
      <w:marRight w:val="0"/>
      <w:marTop w:val="0"/>
      <w:marBottom w:val="0"/>
      <w:divBdr>
        <w:top w:val="none" w:sz="0" w:space="0" w:color="auto"/>
        <w:left w:val="none" w:sz="0" w:space="0" w:color="auto"/>
        <w:bottom w:val="none" w:sz="0" w:space="0" w:color="auto"/>
        <w:right w:val="none" w:sz="0" w:space="0" w:color="auto"/>
      </w:divBdr>
    </w:div>
    <w:div w:id="459766535">
      <w:bodyDiv w:val="1"/>
      <w:marLeft w:val="0"/>
      <w:marRight w:val="0"/>
      <w:marTop w:val="0"/>
      <w:marBottom w:val="0"/>
      <w:divBdr>
        <w:top w:val="none" w:sz="0" w:space="0" w:color="auto"/>
        <w:left w:val="none" w:sz="0" w:space="0" w:color="auto"/>
        <w:bottom w:val="none" w:sz="0" w:space="0" w:color="auto"/>
        <w:right w:val="none" w:sz="0" w:space="0" w:color="auto"/>
      </w:divBdr>
    </w:div>
    <w:div w:id="461462710">
      <w:bodyDiv w:val="1"/>
      <w:marLeft w:val="0"/>
      <w:marRight w:val="0"/>
      <w:marTop w:val="0"/>
      <w:marBottom w:val="0"/>
      <w:divBdr>
        <w:top w:val="none" w:sz="0" w:space="0" w:color="auto"/>
        <w:left w:val="none" w:sz="0" w:space="0" w:color="auto"/>
        <w:bottom w:val="none" w:sz="0" w:space="0" w:color="auto"/>
        <w:right w:val="none" w:sz="0" w:space="0" w:color="auto"/>
      </w:divBdr>
    </w:div>
    <w:div w:id="467937696">
      <w:bodyDiv w:val="1"/>
      <w:marLeft w:val="0"/>
      <w:marRight w:val="0"/>
      <w:marTop w:val="0"/>
      <w:marBottom w:val="0"/>
      <w:divBdr>
        <w:top w:val="none" w:sz="0" w:space="0" w:color="auto"/>
        <w:left w:val="none" w:sz="0" w:space="0" w:color="auto"/>
        <w:bottom w:val="none" w:sz="0" w:space="0" w:color="auto"/>
        <w:right w:val="none" w:sz="0" w:space="0" w:color="auto"/>
      </w:divBdr>
    </w:div>
    <w:div w:id="471144045">
      <w:bodyDiv w:val="1"/>
      <w:marLeft w:val="0"/>
      <w:marRight w:val="0"/>
      <w:marTop w:val="0"/>
      <w:marBottom w:val="0"/>
      <w:divBdr>
        <w:top w:val="none" w:sz="0" w:space="0" w:color="auto"/>
        <w:left w:val="none" w:sz="0" w:space="0" w:color="auto"/>
        <w:bottom w:val="none" w:sz="0" w:space="0" w:color="auto"/>
        <w:right w:val="none" w:sz="0" w:space="0" w:color="auto"/>
      </w:divBdr>
      <w:divsChild>
        <w:div w:id="722485376">
          <w:marLeft w:val="0"/>
          <w:marRight w:val="0"/>
          <w:marTop w:val="0"/>
          <w:marBottom w:val="0"/>
          <w:divBdr>
            <w:top w:val="none" w:sz="0" w:space="0" w:color="auto"/>
            <w:left w:val="none" w:sz="0" w:space="0" w:color="auto"/>
            <w:bottom w:val="none" w:sz="0" w:space="0" w:color="auto"/>
            <w:right w:val="none" w:sz="0" w:space="0" w:color="auto"/>
          </w:divBdr>
          <w:divsChild>
            <w:div w:id="428430957">
              <w:marLeft w:val="0"/>
              <w:marRight w:val="0"/>
              <w:marTop w:val="0"/>
              <w:marBottom w:val="0"/>
              <w:divBdr>
                <w:top w:val="none" w:sz="0" w:space="0" w:color="auto"/>
                <w:left w:val="none" w:sz="0" w:space="0" w:color="auto"/>
                <w:bottom w:val="none" w:sz="0" w:space="0" w:color="auto"/>
                <w:right w:val="none" w:sz="0" w:space="0" w:color="auto"/>
              </w:divBdr>
              <w:divsChild>
                <w:div w:id="583992891">
                  <w:marLeft w:val="0"/>
                  <w:marRight w:val="0"/>
                  <w:marTop w:val="0"/>
                  <w:marBottom w:val="0"/>
                  <w:divBdr>
                    <w:top w:val="none" w:sz="0" w:space="0" w:color="auto"/>
                    <w:left w:val="none" w:sz="0" w:space="0" w:color="auto"/>
                    <w:bottom w:val="none" w:sz="0" w:space="0" w:color="auto"/>
                    <w:right w:val="none" w:sz="0" w:space="0" w:color="auto"/>
                  </w:divBdr>
                  <w:divsChild>
                    <w:div w:id="1159690910">
                      <w:marLeft w:val="0"/>
                      <w:marRight w:val="0"/>
                      <w:marTop w:val="0"/>
                      <w:marBottom w:val="0"/>
                      <w:divBdr>
                        <w:top w:val="none" w:sz="0" w:space="0" w:color="auto"/>
                        <w:left w:val="none" w:sz="0" w:space="0" w:color="auto"/>
                        <w:bottom w:val="none" w:sz="0" w:space="0" w:color="auto"/>
                        <w:right w:val="none" w:sz="0" w:space="0" w:color="auto"/>
                      </w:divBdr>
                      <w:divsChild>
                        <w:div w:id="646980032">
                          <w:marLeft w:val="0"/>
                          <w:marRight w:val="0"/>
                          <w:marTop w:val="0"/>
                          <w:marBottom w:val="420"/>
                          <w:divBdr>
                            <w:top w:val="none" w:sz="0" w:space="0" w:color="auto"/>
                            <w:left w:val="none" w:sz="0" w:space="0" w:color="auto"/>
                            <w:bottom w:val="none" w:sz="0" w:space="0" w:color="auto"/>
                            <w:right w:val="none" w:sz="0" w:space="0" w:color="auto"/>
                          </w:divBdr>
                          <w:divsChild>
                            <w:div w:id="16351118">
                              <w:marLeft w:val="0"/>
                              <w:marRight w:val="0"/>
                              <w:marTop w:val="0"/>
                              <w:marBottom w:val="0"/>
                              <w:divBdr>
                                <w:top w:val="none" w:sz="0" w:space="0" w:color="auto"/>
                                <w:left w:val="none" w:sz="0" w:space="0" w:color="auto"/>
                                <w:bottom w:val="none" w:sz="0" w:space="0" w:color="auto"/>
                                <w:right w:val="none" w:sz="0" w:space="0" w:color="auto"/>
                              </w:divBdr>
                              <w:divsChild>
                                <w:div w:id="570776185">
                                  <w:marLeft w:val="0"/>
                                  <w:marRight w:val="0"/>
                                  <w:marTop w:val="0"/>
                                  <w:marBottom w:val="420"/>
                                  <w:divBdr>
                                    <w:top w:val="none" w:sz="0" w:space="0" w:color="auto"/>
                                    <w:left w:val="none" w:sz="0" w:space="0" w:color="auto"/>
                                    <w:bottom w:val="none" w:sz="0" w:space="0" w:color="auto"/>
                                    <w:right w:val="none" w:sz="0" w:space="0" w:color="auto"/>
                                  </w:divBdr>
                                  <w:divsChild>
                                    <w:div w:id="52895059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367303">
      <w:bodyDiv w:val="1"/>
      <w:marLeft w:val="0"/>
      <w:marRight w:val="0"/>
      <w:marTop w:val="0"/>
      <w:marBottom w:val="0"/>
      <w:divBdr>
        <w:top w:val="none" w:sz="0" w:space="0" w:color="auto"/>
        <w:left w:val="none" w:sz="0" w:space="0" w:color="auto"/>
        <w:bottom w:val="none" w:sz="0" w:space="0" w:color="auto"/>
        <w:right w:val="none" w:sz="0" w:space="0" w:color="auto"/>
      </w:divBdr>
    </w:div>
    <w:div w:id="484443305">
      <w:bodyDiv w:val="1"/>
      <w:marLeft w:val="0"/>
      <w:marRight w:val="0"/>
      <w:marTop w:val="0"/>
      <w:marBottom w:val="0"/>
      <w:divBdr>
        <w:top w:val="none" w:sz="0" w:space="0" w:color="auto"/>
        <w:left w:val="none" w:sz="0" w:space="0" w:color="auto"/>
        <w:bottom w:val="none" w:sz="0" w:space="0" w:color="auto"/>
        <w:right w:val="none" w:sz="0" w:space="0" w:color="auto"/>
      </w:divBdr>
    </w:div>
    <w:div w:id="489172649">
      <w:bodyDiv w:val="1"/>
      <w:marLeft w:val="0"/>
      <w:marRight w:val="0"/>
      <w:marTop w:val="0"/>
      <w:marBottom w:val="0"/>
      <w:divBdr>
        <w:top w:val="none" w:sz="0" w:space="0" w:color="auto"/>
        <w:left w:val="none" w:sz="0" w:space="0" w:color="auto"/>
        <w:bottom w:val="none" w:sz="0" w:space="0" w:color="auto"/>
        <w:right w:val="none" w:sz="0" w:space="0" w:color="auto"/>
      </w:divBdr>
    </w:div>
    <w:div w:id="501435312">
      <w:bodyDiv w:val="1"/>
      <w:marLeft w:val="0"/>
      <w:marRight w:val="0"/>
      <w:marTop w:val="0"/>
      <w:marBottom w:val="0"/>
      <w:divBdr>
        <w:top w:val="none" w:sz="0" w:space="0" w:color="auto"/>
        <w:left w:val="none" w:sz="0" w:space="0" w:color="auto"/>
        <w:bottom w:val="none" w:sz="0" w:space="0" w:color="auto"/>
        <w:right w:val="none" w:sz="0" w:space="0" w:color="auto"/>
      </w:divBdr>
    </w:div>
    <w:div w:id="502821524">
      <w:bodyDiv w:val="1"/>
      <w:marLeft w:val="0"/>
      <w:marRight w:val="0"/>
      <w:marTop w:val="0"/>
      <w:marBottom w:val="0"/>
      <w:divBdr>
        <w:top w:val="none" w:sz="0" w:space="0" w:color="auto"/>
        <w:left w:val="none" w:sz="0" w:space="0" w:color="auto"/>
        <w:bottom w:val="none" w:sz="0" w:space="0" w:color="auto"/>
        <w:right w:val="none" w:sz="0" w:space="0" w:color="auto"/>
      </w:divBdr>
    </w:div>
    <w:div w:id="510608222">
      <w:bodyDiv w:val="1"/>
      <w:marLeft w:val="0"/>
      <w:marRight w:val="0"/>
      <w:marTop w:val="0"/>
      <w:marBottom w:val="0"/>
      <w:divBdr>
        <w:top w:val="none" w:sz="0" w:space="0" w:color="auto"/>
        <w:left w:val="none" w:sz="0" w:space="0" w:color="auto"/>
        <w:bottom w:val="none" w:sz="0" w:space="0" w:color="auto"/>
        <w:right w:val="none" w:sz="0" w:space="0" w:color="auto"/>
      </w:divBdr>
    </w:div>
    <w:div w:id="533274559">
      <w:bodyDiv w:val="1"/>
      <w:marLeft w:val="0"/>
      <w:marRight w:val="0"/>
      <w:marTop w:val="0"/>
      <w:marBottom w:val="0"/>
      <w:divBdr>
        <w:top w:val="none" w:sz="0" w:space="0" w:color="auto"/>
        <w:left w:val="none" w:sz="0" w:space="0" w:color="auto"/>
        <w:bottom w:val="none" w:sz="0" w:space="0" w:color="auto"/>
        <w:right w:val="none" w:sz="0" w:space="0" w:color="auto"/>
      </w:divBdr>
    </w:div>
    <w:div w:id="533814653">
      <w:bodyDiv w:val="1"/>
      <w:marLeft w:val="0"/>
      <w:marRight w:val="0"/>
      <w:marTop w:val="0"/>
      <w:marBottom w:val="0"/>
      <w:divBdr>
        <w:top w:val="none" w:sz="0" w:space="0" w:color="auto"/>
        <w:left w:val="none" w:sz="0" w:space="0" w:color="auto"/>
        <w:bottom w:val="none" w:sz="0" w:space="0" w:color="auto"/>
        <w:right w:val="none" w:sz="0" w:space="0" w:color="auto"/>
      </w:divBdr>
    </w:div>
    <w:div w:id="537133785">
      <w:bodyDiv w:val="1"/>
      <w:marLeft w:val="0"/>
      <w:marRight w:val="0"/>
      <w:marTop w:val="0"/>
      <w:marBottom w:val="0"/>
      <w:divBdr>
        <w:top w:val="none" w:sz="0" w:space="0" w:color="auto"/>
        <w:left w:val="none" w:sz="0" w:space="0" w:color="auto"/>
        <w:bottom w:val="none" w:sz="0" w:space="0" w:color="auto"/>
        <w:right w:val="none" w:sz="0" w:space="0" w:color="auto"/>
      </w:divBdr>
      <w:divsChild>
        <w:div w:id="79836374">
          <w:marLeft w:val="0"/>
          <w:marRight w:val="0"/>
          <w:marTop w:val="0"/>
          <w:marBottom w:val="0"/>
          <w:divBdr>
            <w:top w:val="none" w:sz="0" w:space="0" w:color="auto"/>
            <w:left w:val="none" w:sz="0" w:space="0" w:color="auto"/>
            <w:bottom w:val="none" w:sz="0" w:space="0" w:color="auto"/>
            <w:right w:val="none" w:sz="0" w:space="0" w:color="auto"/>
          </w:divBdr>
          <w:divsChild>
            <w:div w:id="978339251">
              <w:marLeft w:val="0"/>
              <w:marRight w:val="0"/>
              <w:marTop w:val="0"/>
              <w:marBottom w:val="0"/>
              <w:divBdr>
                <w:top w:val="none" w:sz="0" w:space="0" w:color="auto"/>
                <w:left w:val="none" w:sz="0" w:space="0" w:color="auto"/>
                <w:bottom w:val="none" w:sz="0" w:space="0" w:color="auto"/>
                <w:right w:val="none" w:sz="0" w:space="0" w:color="auto"/>
              </w:divBdr>
              <w:divsChild>
                <w:div w:id="274021041">
                  <w:marLeft w:val="0"/>
                  <w:marRight w:val="0"/>
                  <w:marTop w:val="0"/>
                  <w:marBottom w:val="0"/>
                  <w:divBdr>
                    <w:top w:val="none" w:sz="0" w:space="0" w:color="auto"/>
                    <w:left w:val="none" w:sz="0" w:space="0" w:color="auto"/>
                    <w:bottom w:val="none" w:sz="0" w:space="0" w:color="auto"/>
                    <w:right w:val="none" w:sz="0" w:space="0" w:color="auto"/>
                  </w:divBdr>
                  <w:divsChild>
                    <w:div w:id="5241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27103">
      <w:bodyDiv w:val="1"/>
      <w:marLeft w:val="0"/>
      <w:marRight w:val="0"/>
      <w:marTop w:val="0"/>
      <w:marBottom w:val="0"/>
      <w:divBdr>
        <w:top w:val="none" w:sz="0" w:space="0" w:color="auto"/>
        <w:left w:val="none" w:sz="0" w:space="0" w:color="auto"/>
        <w:bottom w:val="none" w:sz="0" w:space="0" w:color="auto"/>
        <w:right w:val="none" w:sz="0" w:space="0" w:color="auto"/>
      </w:divBdr>
    </w:div>
    <w:div w:id="547647025">
      <w:bodyDiv w:val="1"/>
      <w:marLeft w:val="0"/>
      <w:marRight w:val="0"/>
      <w:marTop w:val="0"/>
      <w:marBottom w:val="0"/>
      <w:divBdr>
        <w:top w:val="none" w:sz="0" w:space="0" w:color="auto"/>
        <w:left w:val="none" w:sz="0" w:space="0" w:color="auto"/>
        <w:bottom w:val="none" w:sz="0" w:space="0" w:color="auto"/>
        <w:right w:val="none" w:sz="0" w:space="0" w:color="auto"/>
      </w:divBdr>
    </w:div>
    <w:div w:id="550843218">
      <w:bodyDiv w:val="1"/>
      <w:marLeft w:val="0"/>
      <w:marRight w:val="0"/>
      <w:marTop w:val="0"/>
      <w:marBottom w:val="0"/>
      <w:divBdr>
        <w:top w:val="none" w:sz="0" w:space="0" w:color="auto"/>
        <w:left w:val="none" w:sz="0" w:space="0" w:color="auto"/>
        <w:bottom w:val="none" w:sz="0" w:space="0" w:color="auto"/>
        <w:right w:val="none" w:sz="0" w:space="0" w:color="auto"/>
      </w:divBdr>
    </w:div>
    <w:div w:id="551161747">
      <w:bodyDiv w:val="1"/>
      <w:marLeft w:val="0"/>
      <w:marRight w:val="0"/>
      <w:marTop w:val="0"/>
      <w:marBottom w:val="0"/>
      <w:divBdr>
        <w:top w:val="none" w:sz="0" w:space="0" w:color="auto"/>
        <w:left w:val="none" w:sz="0" w:space="0" w:color="auto"/>
        <w:bottom w:val="none" w:sz="0" w:space="0" w:color="auto"/>
        <w:right w:val="none" w:sz="0" w:space="0" w:color="auto"/>
      </w:divBdr>
    </w:div>
    <w:div w:id="552928598">
      <w:bodyDiv w:val="1"/>
      <w:marLeft w:val="0"/>
      <w:marRight w:val="0"/>
      <w:marTop w:val="0"/>
      <w:marBottom w:val="0"/>
      <w:divBdr>
        <w:top w:val="none" w:sz="0" w:space="0" w:color="auto"/>
        <w:left w:val="none" w:sz="0" w:space="0" w:color="auto"/>
        <w:bottom w:val="none" w:sz="0" w:space="0" w:color="auto"/>
        <w:right w:val="none" w:sz="0" w:space="0" w:color="auto"/>
      </w:divBdr>
    </w:div>
    <w:div w:id="555237260">
      <w:bodyDiv w:val="1"/>
      <w:marLeft w:val="0"/>
      <w:marRight w:val="0"/>
      <w:marTop w:val="0"/>
      <w:marBottom w:val="0"/>
      <w:divBdr>
        <w:top w:val="none" w:sz="0" w:space="0" w:color="auto"/>
        <w:left w:val="none" w:sz="0" w:space="0" w:color="auto"/>
        <w:bottom w:val="none" w:sz="0" w:space="0" w:color="auto"/>
        <w:right w:val="none" w:sz="0" w:space="0" w:color="auto"/>
      </w:divBdr>
    </w:div>
    <w:div w:id="557791242">
      <w:bodyDiv w:val="1"/>
      <w:marLeft w:val="0"/>
      <w:marRight w:val="0"/>
      <w:marTop w:val="0"/>
      <w:marBottom w:val="0"/>
      <w:divBdr>
        <w:top w:val="none" w:sz="0" w:space="0" w:color="auto"/>
        <w:left w:val="none" w:sz="0" w:space="0" w:color="auto"/>
        <w:bottom w:val="none" w:sz="0" w:space="0" w:color="auto"/>
        <w:right w:val="none" w:sz="0" w:space="0" w:color="auto"/>
      </w:divBdr>
    </w:div>
    <w:div w:id="560747230">
      <w:bodyDiv w:val="1"/>
      <w:marLeft w:val="0"/>
      <w:marRight w:val="0"/>
      <w:marTop w:val="0"/>
      <w:marBottom w:val="0"/>
      <w:divBdr>
        <w:top w:val="none" w:sz="0" w:space="0" w:color="auto"/>
        <w:left w:val="none" w:sz="0" w:space="0" w:color="auto"/>
        <w:bottom w:val="none" w:sz="0" w:space="0" w:color="auto"/>
        <w:right w:val="none" w:sz="0" w:space="0" w:color="auto"/>
      </w:divBdr>
    </w:div>
    <w:div w:id="561407134">
      <w:bodyDiv w:val="1"/>
      <w:marLeft w:val="0"/>
      <w:marRight w:val="0"/>
      <w:marTop w:val="0"/>
      <w:marBottom w:val="0"/>
      <w:divBdr>
        <w:top w:val="none" w:sz="0" w:space="0" w:color="auto"/>
        <w:left w:val="none" w:sz="0" w:space="0" w:color="auto"/>
        <w:bottom w:val="none" w:sz="0" w:space="0" w:color="auto"/>
        <w:right w:val="none" w:sz="0" w:space="0" w:color="auto"/>
      </w:divBdr>
    </w:div>
    <w:div w:id="562524171">
      <w:bodyDiv w:val="1"/>
      <w:marLeft w:val="0"/>
      <w:marRight w:val="0"/>
      <w:marTop w:val="0"/>
      <w:marBottom w:val="0"/>
      <w:divBdr>
        <w:top w:val="none" w:sz="0" w:space="0" w:color="auto"/>
        <w:left w:val="none" w:sz="0" w:space="0" w:color="auto"/>
        <w:bottom w:val="none" w:sz="0" w:space="0" w:color="auto"/>
        <w:right w:val="none" w:sz="0" w:space="0" w:color="auto"/>
      </w:divBdr>
      <w:divsChild>
        <w:div w:id="1080909962">
          <w:marLeft w:val="0"/>
          <w:marRight w:val="0"/>
          <w:marTop w:val="0"/>
          <w:marBottom w:val="0"/>
          <w:divBdr>
            <w:top w:val="none" w:sz="0" w:space="0" w:color="auto"/>
            <w:left w:val="none" w:sz="0" w:space="0" w:color="auto"/>
            <w:bottom w:val="none" w:sz="0" w:space="0" w:color="auto"/>
            <w:right w:val="none" w:sz="0" w:space="0" w:color="auto"/>
          </w:divBdr>
          <w:divsChild>
            <w:div w:id="804397347">
              <w:marLeft w:val="0"/>
              <w:marRight w:val="0"/>
              <w:marTop w:val="0"/>
              <w:marBottom w:val="0"/>
              <w:divBdr>
                <w:top w:val="none" w:sz="0" w:space="0" w:color="auto"/>
                <w:left w:val="none" w:sz="0" w:space="0" w:color="auto"/>
                <w:bottom w:val="none" w:sz="0" w:space="0" w:color="auto"/>
                <w:right w:val="none" w:sz="0" w:space="0" w:color="auto"/>
              </w:divBdr>
              <w:divsChild>
                <w:div w:id="535193115">
                  <w:marLeft w:val="0"/>
                  <w:marRight w:val="0"/>
                  <w:marTop w:val="0"/>
                  <w:marBottom w:val="0"/>
                  <w:divBdr>
                    <w:top w:val="none" w:sz="0" w:space="0" w:color="auto"/>
                    <w:left w:val="none" w:sz="0" w:space="0" w:color="auto"/>
                    <w:bottom w:val="none" w:sz="0" w:space="0" w:color="auto"/>
                    <w:right w:val="none" w:sz="0" w:space="0" w:color="auto"/>
                  </w:divBdr>
                  <w:divsChild>
                    <w:div w:id="302278070">
                      <w:marLeft w:val="0"/>
                      <w:marRight w:val="0"/>
                      <w:marTop w:val="0"/>
                      <w:marBottom w:val="0"/>
                      <w:divBdr>
                        <w:top w:val="dotted" w:sz="2" w:space="0" w:color="CCCCCC"/>
                        <w:left w:val="dotted" w:sz="2" w:space="0" w:color="CCCCCC"/>
                        <w:bottom w:val="dotted" w:sz="2" w:space="0" w:color="CCCCCC"/>
                        <w:right w:val="dotted" w:sz="2" w:space="0" w:color="CCCCCC"/>
                      </w:divBdr>
                      <w:divsChild>
                        <w:div w:id="364017429">
                          <w:marLeft w:val="0"/>
                          <w:marRight w:val="0"/>
                          <w:marTop w:val="0"/>
                          <w:marBottom w:val="207"/>
                          <w:divBdr>
                            <w:top w:val="single" w:sz="4" w:space="5" w:color="EEE3C0"/>
                            <w:left w:val="single" w:sz="4" w:space="5" w:color="EEE3C0"/>
                            <w:bottom w:val="single" w:sz="4" w:space="5" w:color="EEE3C0"/>
                            <w:right w:val="single" w:sz="4" w:space="5" w:color="EEE3C0"/>
                          </w:divBdr>
                          <w:divsChild>
                            <w:div w:id="178937022">
                              <w:marLeft w:val="0"/>
                              <w:marRight w:val="0"/>
                              <w:marTop w:val="0"/>
                              <w:marBottom w:val="0"/>
                              <w:divBdr>
                                <w:top w:val="none" w:sz="0" w:space="0" w:color="auto"/>
                                <w:left w:val="none" w:sz="0" w:space="0" w:color="auto"/>
                                <w:bottom w:val="none" w:sz="0" w:space="0" w:color="auto"/>
                                <w:right w:val="none" w:sz="0" w:space="0" w:color="auto"/>
                              </w:divBdr>
                              <w:divsChild>
                                <w:div w:id="1706828946">
                                  <w:marLeft w:val="0"/>
                                  <w:marRight w:val="0"/>
                                  <w:marTop w:val="0"/>
                                  <w:marBottom w:val="0"/>
                                  <w:divBdr>
                                    <w:top w:val="none" w:sz="0" w:space="0" w:color="auto"/>
                                    <w:left w:val="none" w:sz="0" w:space="0" w:color="auto"/>
                                    <w:bottom w:val="none" w:sz="0" w:space="0" w:color="auto"/>
                                    <w:right w:val="none" w:sz="0" w:space="0" w:color="auto"/>
                                  </w:divBdr>
                                  <w:divsChild>
                                    <w:div w:id="12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156906">
      <w:bodyDiv w:val="1"/>
      <w:marLeft w:val="0"/>
      <w:marRight w:val="0"/>
      <w:marTop w:val="0"/>
      <w:marBottom w:val="0"/>
      <w:divBdr>
        <w:top w:val="none" w:sz="0" w:space="0" w:color="auto"/>
        <w:left w:val="none" w:sz="0" w:space="0" w:color="auto"/>
        <w:bottom w:val="none" w:sz="0" w:space="0" w:color="auto"/>
        <w:right w:val="none" w:sz="0" w:space="0" w:color="auto"/>
      </w:divBdr>
    </w:div>
    <w:div w:id="582883316">
      <w:bodyDiv w:val="1"/>
      <w:marLeft w:val="0"/>
      <w:marRight w:val="0"/>
      <w:marTop w:val="0"/>
      <w:marBottom w:val="0"/>
      <w:divBdr>
        <w:top w:val="none" w:sz="0" w:space="0" w:color="auto"/>
        <w:left w:val="none" w:sz="0" w:space="0" w:color="auto"/>
        <w:bottom w:val="none" w:sz="0" w:space="0" w:color="auto"/>
        <w:right w:val="none" w:sz="0" w:space="0" w:color="auto"/>
      </w:divBdr>
    </w:div>
    <w:div w:id="583876650">
      <w:bodyDiv w:val="1"/>
      <w:marLeft w:val="0"/>
      <w:marRight w:val="0"/>
      <w:marTop w:val="0"/>
      <w:marBottom w:val="0"/>
      <w:divBdr>
        <w:top w:val="none" w:sz="0" w:space="0" w:color="auto"/>
        <w:left w:val="none" w:sz="0" w:space="0" w:color="auto"/>
        <w:bottom w:val="none" w:sz="0" w:space="0" w:color="auto"/>
        <w:right w:val="none" w:sz="0" w:space="0" w:color="auto"/>
      </w:divBdr>
    </w:div>
    <w:div w:id="586379936">
      <w:bodyDiv w:val="1"/>
      <w:marLeft w:val="0"/>
      <w:marRight w:val="0"/>
      <w:marTop w:val="0"/>
      <w:marBottom w:val="0"/>
      <w:divBdr>
        <w:top w:val="none" w:sz="0" w:space="0" w:color="auto"/>
        <w:left w:val="none" w:sz="0" w:space="0" w:color="auto"/>
        <w:bottom w:val="none" w:sz="0" w:space="0" w:color="auto"/>
        <w:right w:val="none" w:sz="0" w:space="0" w:color="auto"/>
      </w:divBdr>
      <w:divsChild>
        <w:div w:id="2073304901">
          <w:marLeft w:val="0"/>
          <w:marRight w:val="0"/>
          <w:marTop w:val="0"/>
          <w:marBottom w:val="0"/>
          <w:divBdr>
            <w:top w:val="none" w:sz="0" w:space="0" w:color="auto"/>
            <w:left w:val="none" w:sz="0" w:space="0" w:color="auto"/>
            <w:bottom w:val="single" w:sz="48" w:space="0" w:color="FFFFFF"/>
            <w:right w:val="none" w:sz="0" w:space="0" w:color="auto"/>
          </w:divBdr>
          <w:divsChild>
            <w:div w:id="1923030765">
              <w:marLeft w:val="0"/>
              <w:marRight w:val="0"/>
              <w:marTop w:val="0"/>
              <w:marBottom w:val="177"/>
              <w:divBdr>
                <w:top w:val="none" w:sz="0" w:space="0" w:color="auto"/>
                <w:left w:val="none" w:sz="0" w:space="0" w:color="auto"/>
                <w:bottom w:val="none" w:sz="0" w:space="0" w:color="auto"/>
                <w:right w:val="none" w:sz="0" w:space="0" w:color="auto"/>
              </w:divBdr>
              <w:divsChild>
                <w:div w:id="1934314711">
                  <w:marLeft w:val="0"/>
                  <w:marRight w:val="0"/>
                  <w:marTop w:val="0"/>
                  <w:marBottom w:val="0"/>
                  <w:divBdr>
                    <w:top w:val="none" w:sz="0" w:space="0" w:color="auto"/>
                    <w:left w:val="none" w:sz="0" w:space="0" w:color="auto"/>
                    <w:bottom w:val="none" w:sz="0" w:space="0" w:color="auto"/>
                    <w:right w:val="none" w:sz="0" w:space="0" w:color="auto"/>
                  </w:divBdr>
                  <w:divsChild>
                    <w:div w:id="76830682">
                      <w:marLeft w:val="1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2372">
      <w:bodyDiv w:val="1"/>
      <w:marLeft w:val="0"/>
      <w:marRight w:val="0"/>
      <w:marTop w:val="0"/>
      <w:marBottom w:val="0"/>
      <w:divBdr>
        <w:top w:val="none" w:sz="0" w:space="0" w:color="auto"/>
        <w:left w:val="none" w:sz="0" w:space="0" w:color="auto"/>
        <w:bottom w:val="none" w:sz="0" w:space="0" w:color="auto"/>
        <w:right w:val="none" w:sz="0" w:space="0" w:color="auto"/>
      </w:divBdr>
    </w:div>
    <w:div w:id="598103163">
      <w:bodyDiv w:val="1"/>
      <w:marLeft w:val="0"/>
      <w:marRight w:val="0"/>
      <w:marTop w:val="0"/>
      <w:marBottom w:val="0"/>
      <w:divBdr>
        <w:top w:val="none" w:sz="0" w:space="0" w:color="auto"/>
        <w:left w:val="none" w:sz="0" w:space="0" w:color="auto"/>
        <w:bottom w:val="none" w:sz="0" w:space="0" w:color="auto"/>
        <w:right w:val="none" w:sz="0" w:space="0" w:color="auto"/>
      </w:divBdr>
    </w:div>
    <w:div w:id="602688583">
      <w:bodyDiv w:val="1"/>
      <w:marLeft w:val="0"/>
      <w:marRight w:val="0"/>
      <w:marTop w:val="0"/>
      <w:marBottom w:val="0"/>
      <w:divBdr>
        <w:top w:val="none" w:sz="0" w:space="0" w:color="auto"/>
        <w:left w:val="none" w:sz="0" w:space="0" w:color="auto"/>
        <w:bottom w:val="none" w:sz="0" w:space="0" w:color="auto"/>
        <w:right w:val="none" w:sz="0" w:space="0" w:color="auto"/>
      </w:divBdr>
    </w:div>
    <w:div w:id="603194954">
      <w:bodyDiv w:val="1"/>
      <w:marLeft w:val="0"/>
      <w:marRight w:val="0"/>
      <w:marTop w:val="0"/>
      <w:marBottom w:val="0"/>
      <w:divBdr>
        <w:top w:val="none" w:sz="0" w:space="0" w:color="auto"/>
        <w:left w:val="none" w:sz="0" w:space="0" w:color="auto"/>
        <w:bottom w:val="none" w:sz="0" w:space="0" w:color="auto"/>
        <w:right w:val="none" w:sz="0" w:space="0" w:color="auto"/>
      </w:divBdr>
    </w:div>
    <w:div w:id="604772897">
      <w:bodyDiv w:val="1"/>
      <w:marLeft w:val="0"/>
      <w:marRight w:val="0"/>
      <w:marTop w:val="0"/>
      <w:marBottom w:val="0"/>
      <w:divBdr>
        <w:top w:val="none" w:sz="0" w:space="0" w:color="auto"/>
        <w:left w:val="none" w:sz="0" w:space="0" w:color="auto"/>
        <w:bottom w:val="none" w:sz="0" w:space="0" w:color="auto"/>
        <w:right w:val="none" w:sz="0" w:space="0" w:color="auto"/>
      </w:divBdr>
    </w:div>
    <w:div w:id="610167121">
      <w:bodyDiv w:val="1"/>
      <w:marLeft w:val="0"/>
      <w:marRight w:val="0"/>
      <w:marTop w:val="0"/>
      <w:marBottom w:val="0"/>
      <w:divBdr>
        <w:top w:val="none" w:sz="0" w:space="0" w:color="auto"/>
        <w:left w:val="none" w:sz="0" w:space="0" w:color="auto"/>
        <w:bottom w:val="none" w:sz="0" w:space="0" w:color="auto"/>
        <w:right w:val="none" w:sz="0" w:space="0" w:color="auto"/>
      </w:divBdr>
    </w:div>
    <w:div w:id="616331769">
      <w:bodyDiv w:val="1"/>
      <w:marLeft w:val="0"/>
      <w:marRight w:val="0"/>
      <w:marTop w:val="0"/>
      <w:marBottom w:val="0"/>
      <w:divBdr>
        <w:top w:val="none" w:sz="0" w:space="0" w:color="auto"/>
        <w:left w:val="none" w:sz="0" w:space="0" w:color="auto"/>
        <w:bottom w:val="none" w:sz="0" w:space="0" w:color="auto"/>
        <w:right w:val="none" w:sz="0" w:space="0" w:color="auto"/>
      </w:divBdr>
    </w:div>
    <w:div w:id="624386564">
      <w:bodyDiv w:val="1"/>
      <w:marLeft w:val="0"/>
      <w:marRight w:val="0"/>
      <w:marTop w:val="0"/>
      <w:marBottom w:val="0"/>
      <w:divBdr>
        <w:top w:val="none" w:sz="0" w:space="0" w:color="auto"/>
        <w:left w:val="none" w:sz="0" w:space="0" w:color="auto"/>
        <w:bottom w:val="none" w:sz="0" w:space="0" w:color="auto"/>
        <w:right w:val="none" w:sz="0" w:space="0" w:color="auto"/>
      </w:divBdr>
    </w:div>
    <w:div w:id="628127724">
      <w:bodyDiv w:val="1"/>
      <w:marLeft w:val="0"/>
      <w:marRight w:val="0"/>
      <w:marTop w:val="0"/>
      <w:marBottom w:val="0"/>
      <w:divBdr>
        <w:top w:val="none" w:sz="0" w:space="0" w:color="auto"/>
        <w:left w:val="none" w:sz="0" w:space="0" w:color="auto"/>
        <w:bottom w:val="none" w:sz="0" w:space="0" w:color="auto"/>
        <w:right w:val="none" w:sz="0" w:space="0" w:color="auto"/>
      </w:divBdr>
    </w:div>
    <w:div w:id="629672812">
      <w:bodyDiv w:val="1"/>
      <w:marLeft w:val="0"/>
      <w:marRight w:val="0"/>
      <w:marTop w:val="0"/>
      <w:marBottom w:val="0"/>
      <w:divBdr>
        <w:top w:val="none" w:sz="0" w:space="0" w:color="auto"/>
        <w:left w:val="none" w:sz="0" w:space="0" w:color="auto"/>
        <w:bottom w:val="none" w:sz="0" w:space="0" w:color="auto"/>
        <w:right w:val="none" w:sz="0" w:space="0" w:color="auto"/>
      </w:divBdr>
    </w:div>
    <w:div w:id="630673042">
      <w:bodyDiv w:val="1"/>
      <w:marLeft w:val="0"/>
      <w:marRight w:val="0"/>
      <w:marTop w:val="0"/>
      <w:marBottom w:val="0"/>
      <w:divBdr>
        <w:top w:val="none" w:sz="0" w:space="0" w:color="auto"/>
        <w:left w:val="none" w:sz="0" w:space="0" w:color="auto"/>
        <w:bottom w:val="none" w:sz="0" w:space="0" w:color="auto"/>
        <w:right w:val="none" w:sz="0" w:space="0" w:color="auto"/>
      </w:divBdr>
    </w:div>
    <w:div w:id="640812828">
      <w:bodyDiv w:val="1"/>
      <w:marLeft w:val="0"/>
      <w:marRight w:val="0"/>
      <w:marTop w:val="0"/>
      <w:marBottom w:val="0"/>
      <w:divBdr>
        <w:top w:val="none" w:sz="0" w:space="0" w:color="auto"/>
        <w:left w:val="none" w:sz="0" w:space="0" w:color="auto"/>
        <w:bottom w:val="none" w:sz="0" w:space="0" w:color="auto"/>
        <w:right w:val="none" w:sz="0" w:space="0" w:color="auto"/>
      </w:divBdr>
    </w:div>
    <w:div w:id="642201908">
      <w:bodyDiv w:val="1"/>
      <w:marLeft w:val="0"/>
      <w:marRight w:val="0"/>
      <w:marTop w:val="0"/>
      <w:marBottom w:val="0"/>
      <w:divBdr>
        <w:top w:val="none" w:sz="0" w:space="0" w:color="auto"/>
        <w:left w:val="none" w:sz="0" w:space="0" w:color="auto"/>
        <w:bottom w:val="none" w:sz="0" w:space="0" w:color="auto"/>
        <w:right w:val="none" w:sz="0" w:space="0" w:color="auto"/>
      </w:divBdr>
    </w:div>
    <w:div w:id="644816162">
      <w:bodyDiv w:val="1"/>
      <w:marLeft w:val="0"/>
      <w:marRight w:val="0"/>
      <w:marTop w:val="0"/>
      <w:marBottom w:val="0"/>
      <w:divBdr>
        <w:top w:val="none" w:sz="0" w:space="0" w:color="auto"/>
        <w:left w:val="none" w:sz="0" w:space="0" w:color="auto"/>
        <w:bottom w:val="none" w:sz="0" w:space="0" w:color="auto"/>
        <w:right w:val="none" w:sz="0" w:space="0" w:color="auto"/>
      </w:divBdr>
    </w:div>
    <w:div w:id="645936113">
      <w:bodyDiv w:val="1"/>
      <w:marLeft w:val="0"/>
      <w:marRight w:val="0"/>
      <w:marTop w:val="0"/>
      <w:marBottom w:val="0"/>
      <w:divBdr>
        <w:top w:val="none" w:sz="0" w:space="0" w:color="auto"/>
        <w:left w:val="none" w:sz="0" w:space="0" w:color="auto"/>
        <w:bottom w:val="none" w:sz="0" w:space="0" w:color="auto"/>
        <w:right w:val="none" w:sz="0" w:space="0" w:color="auto"/>
      </w:divBdr>
    </w:div>
    <w:div w:id="646009303">
      <w:bodyDiv w:val="1"/>
      <w:marLeft w:val="0"/>
      <w:marRight w:val="0"/>
      <w:marTop w:val="0"/>
      <w:marBottom w:val="0"/>
      <w:divBdr>
        <w:top w:val="none" w:sz="0" w:space="0" w:color="auto"/>
        <w:left w:val="none" w:sz="0" w:space="0" w:color="auto"/>
        <w:bottom w:val="none" w:sz="0" w:space="0" w:color="auto"/>
        <w:right w:val="none" w:sz="0" w:space="0" w:color="auto"/>
      </w:divBdr>
    </w:div>
    <w:div w:id="668139955">
      <w:bodyDiv w:val="1"/>
      <w:marLeft w:val="0"/>
      <w:marRight w:val="0"/>
      <w:marTop w:val="0"/>
      <w:marBottom w:val="0"/>
      <w:divBdr>
        <w:top w:val="none" w:sz="0" w:space="0" w:color="auto"/>
        <w:left w:val="none" w:sz="0" w:space="0" w:color="auto"/>
        <w:bottom w:val="none" w:sz="0" w:space="0" w:color="auto"/>
        <w:right w:val="none" w:sz="0" w:space="0" w:color="auto"/>
      </w:divBdr>
    </w:div>
    <w:div w:id="681518324">
      <w:bodyDiv w:val="1"/>
      <w:marLeft w:val="0"/>
      <w:marRight w:val="0"/>
      <w:marTop w:val="0"/>
      <w:marBottom w:val="0"/>
      <w:divBdr>
        <w:top w:val="none" w:sz="0" w:space="0" w:color="auto"/>
        <w:left w:val="none" w:sz="0" w:space="0" w:color="auto"/>
        <w:bottom w:val="none" w:sz="0" w:space="0" w:color="auto"/>
        <w:right w:val="none" w:sz="0" w:space="0" w:color="auto"/>
      </w:divBdr>
    </w:div>
    <w:div w:id="686061699">
      <w:bodyDiv w:val="1"/>
      <w:marLeft w:val="0"/>
      <w:marRight w:val="0"/>
      <w:marTop w:val="0"/>
      <w:marBottom w:val="0"/>
      <w:divBdr>
        <w:top w:val="none" w:sz="0" w:space="0" w:color="auto"/>
        <w:left w:val="none" w:sz="0" w:space="0" w:color="auto"/>
        <w:bottom w:val="none" w:sz="0" w:space="0" w:color="auto"/>
        <w:right w:val="none" w:sz="0" w:space="0" w:color="auto"/>
      </w:divBdr>
    </w:div>
    <w:div w:id="692152368">
      <w:bodyDiv w:val="1"/>
      <w:marLeft w:val="0"/>
      <w:marRight w:val="0"/>
      <w:marTop w:val="0"/>
      <w:marBottom w:val="0"/>
      <w:divBdr>
        <w:top w:val="none" w:sz="0" w:space="0" w:color="auto"/>
        <w:left w:val="none" w:sz="0" w:space="0" w:color="auto"/>
        <w:bottom w:val="none" w:sz="0" w:space="0" w:color="auto"/>
        <w:right w:val="none" w:sz="0" w:space="0" w:color="auto"/>
      </w:divBdr>
    </w:div>
    <w:div w:id="693918582">
      <w:bodyDiv w:val="1"/>
      <w:marLeft w:val="0"/>
      <w:marRight w:val="0"/>
      <w:marTop w:val="0"/>
      <w:marBottom w:val="0"/>
      <w:divBdr>
        <w:top w:val="none" w:sz="0" w:space="0" w:color="auto"/>
        <w:left w:val="none" w:sz="0" w:space="0" w:color="auto"/>
        <w:bottom w:val="none" w:sz="0" w:space="0" w:color="auto"/>
        <w:right w:val="none" w:sz="0" w:space="0" w:color="auto"/>
      </w:divBdr>
    </w:div>
    <w:div w:id="696851970">
      <w:bodyDiv w:val="1"/>
      <w:marLeft w:val="0"/>
      <w:marRight w:val="0"/>
      <w:marTop w:val="0"/>
      <w:marBottom w:val="0"/>
      <w:divBdr>
        <w:top w:val="none" w:sz="0" w:space="0" w:color="auto"/>
        <w:left w:val="none" w:sz="0" w:space="0" w:color="auto"/>
        <w:bottom w:val="none" w:sz="0" w:space="0" w:color="auto"/>
        <w:right w:val="none" w:sz="0" w:space="0" w:color="auto"/>
      </w:divBdr>
    </w:div>
    <w:div w:id="699624176">
      <w:bodyDiv w:val="1"/>
      <w:marLeft w:val="0"/>
      <w:marRight w:val="0"/>
      <w:marTop w:val="0"/>
      <w:marBottom w:val="0"/>
      <w:divBdr>
        <w:top w:val="none" w:sz="0" w:space="0" w:color="auto"/>
        <w:left w:val="none" w:sz="0" w:space="0" w:color="auto"/>
        <w:bottom w:val="none" w:sz="0" w:space="0" w:color="auto"/>
        <w:right w:val="none" w:sz="0" w:space="0" w:color="auto"/>
      </w:divBdr>
    </w:div>
    <w:div w:id="714039975">
      <w:bodyDiv w:val="1"/>
      <w:marLeft w:val="0"/>
      <w:marRight w:val="0"/>
      <w:marTop w:val="0"/>
      <w:marBottom w:val="0"/>
      <w:divBdr>
        <w:top w:val="none" w:sz="0" w:space="0" w:color="auto"/>
        <w:left w:val="none" w:sz="0" w:space="0" w:color="auto"/>
        <w:bottom w:val="none" w:sz="0" w:space="0" w:color="auto"/>
        <w:right w:val="none" w:sz="0" w:space="0" w:color="auto"/>
      </w:divBdr>
    </w:div>
    <w:div w:id="716585626">
      <w:bodyDiv w:val="1"/>
      <w:marLeft w:val="0"/>
      <w:marRight w:val="0"/>
      <w:marTop w:val="0"/>
      <w:marBottom w:val="0"/>
      <w:divBdr>
        <w:top w:val="none" w:sz="0" w:space="0" w:color="auto"/>
        <w:left w:val="none" w:sz="0" w:space="0" w:color="auto"/>
        <w:bottom w:val="none" w:sz="0" w:space="0" w:color="auto"/>
        <w:right w:val="none" w:sz="0" w:space="0" w:color="auto"/>
      </w:divBdr>
    </w:div>
    <w:div w:id="718819528">
      <w:bodyDiv w:val="1"/>
      <w:marLeft w:val="0"/>
      <w:marRight w:val="0"/>
      <w:marTop w:val="0"/>
      <w:marBottom w:val="0"/>
      <w:divBdr>
        <w:top w:val="none" w:sz="0" w:space="0" w:color="auto"/>
        <w:left w:val="none" w:sz="0" w:space="0" w:color="auto"/>
        <w:bottom w:val="none" w:sz="0" w:space="0" w:color="auto"/>
        <w:right w:val="none" w:sz="0" w:space="0" w:color="auto"/>
      </w:divBdr>
    </w:div>
    <w:div w:id="720638427">
      <w:bodyDiv w:val="1"/>
      <w:marLeft w:val="0"/>
      <w:marRight w:val="0"/>
      <w:marTop w:val="0"/>
      <w:marBottom w:val="0"/>
      <w:divBdr>
        <w:top w:val="none" w:sz="0" w:space="0" w:color="auto"/>
        <w:left w:val="none" w:sz="0" w:space="0" w:color="auto"/>
        <w:bottom w:val="none" w:sz="0" w:space="0" w:color="auto"/>
        <w:right w:val="none" w:sz="0" w:space="0" w:color="auto"/>
      </w:divBdr>
    </w:div>
    <w:div w:id="720976714">
      <w:bodyDiv w:val="1"/>
      <w:marLeft w:val="0"/>
      <w:marRight w:val="0"/>
      <w:marTop w:val="0"/>
      <w:marBottom w:val="0"/>
      <w:divBdr>
        <w:top w:val="none" w:sz="0" w:space="0" w:color="auto"/>
        <w:left w:val="none" w:sz="0" w:space="0" w:color="auto"/>
        <w:bottom w:val="none" w:sz="0" w:space="0" w:color="auto"/>
        <w:right w:val="none" w:sz="0" w:space="0" w:color="auto"/>
      </w:divBdr>
    </w:div>
    <w:div w:id="722799062">
      <w:bodyDiv w:val="1"/>
      <w:marLeft w:val="0"/>
      <w:marRight w:val="0"/>
      <w:marTop w:val="0"/>
      <w:marBottom w:val="0"/>
      <w:divBdr>
        <w:top w:val="none" w:sz="0" w:space="0" w:color="auto"/>
        <w:left w:val="none" w:sz="0" w:space="0" w:color="auto"/>
        <w:bottom w:val="none" w:sz="0" w:space="0" w:color="auto"/>
        <w:right w:val="none" w:sz="0" w:space="0" w:color="auto"/>
      </w:divBdr>
      <w:divsChild>
        <w:div w:id="371922600">
          <w:marLeft w:val="0"/>
          <w:marRight w:val="0"/>
          <w:marTop w:val="0"/>
          <w:marBottom w:val="0"/>
          <w:divBdr>
            <w:top w:val="none" w:sz="0" w:space="0" w:color="auto"/>
            <w:left w:val="none" w:sz="0" w:space="0" w:color="auto"/>
            <w:bottom w:val="none" w:sz="0" w:space="0" w:color="auto"/>
            <w:right w:val="none" w:sz="0" w:space="0" w:color="auto"/>
          </w:divBdr>
          <w:divsChild>
            <w:div w:id="1385256416">
              <w:marLeft w:val="0"/>
              <w:marRight w:val="0"/>
              <w:marTop w:val="0"/>
              <w:marBottom w:val="0"/>
              <w:divBdr>
                <w:top w:val="none" w:sz="0" w:space="0" w:color="auto"/>
                <w:left w:val="none" w:sz="0" w:space="0" w:color="auto"/>
                <w:bottom w:val="none" w:sz="0" w:space="0" w:color="auto"/>
                <w:right w:val="none" w:sz="0" w:space="0" w:color="auto"/>
              </w:divBdr>
              <w:divsChild>
                <w:div w:id="425001773">
                  <w:marLeft w:val="0"/>
                  <w:marRight w:val="0"/>
                  <w:marTop w:val="0"/>
                  <w:marBottom w:val="0"/>
                  <w:divBdr>
                    <w:top w:val="none" w:sz="0" w:space="0" w:color="auto"/>
                    <w:left w:val="none" w:sz="0" w:space="0" w:color="auto"/>
                    <w:bottom w:val="none" w:sz="0" w:space="0" w:color="auto"/>
                    <w:right w:val="none" w:sz="0" w:space="0" w:color="auto"/>
                  </w:divBdr>
                  <w:divsChild>
                    <w:div w:id="1735079273">
                      <w:marLeft w:val="0"/>
                      <w:marRight w:val="0"/>
                      <w:marTop w:val="0"/>
                      <w:marBottom w:val="0"/>
                      <w:divBdr>
                        <w:top w:val="none" w:sz="0" w:space="0" w:color="auto"/>
                        <w:left w:val="none" w:sz="0" w:space="0" w:color="auto"/>
                        <w:bottom w:val="none" w:sz="0" w:space="0" w:color="auto"/>
                        <w:right w:val="none" w:sz="0" w:space="0" w:color="auto"/>
                      </w:divBdr>
                      <w:divsChild>
                        <w:div w:id="1445922555">
                          <w:marLeft w:val="0"/>
                          <w:marRight w:val="0"/>
                          <w:marTop w:val="0"/>
                          <w:marBottom w:val="420"/>
                          <w:divBdr>
                            <w:top w:val="none" w:sz="0" w:space="0" w:color="auto"/>
                            <w:left w:val="none" w:sz="0" w:space="0" w:color="auto"/>
                            <w:bottom w:val="none" w:sz="0" w:space="0" w:color="auto"/>
                            <w:right w:val="none" w:sz="0" w:space="0" w:color="auto"/>
                          </w:divBdr>
                          <w:divsChild>
                            <w:div w:id="1089042246">
                              <w:marLeft w:val="0"/>
                              <w:marRight w:val="0"/>
                              <w:marTop w:val="0"/>
                              <w:marBottom w:val="0"/>
                              <w:divBdr>
                                <w:top w:val="none" w:sz="0" w:space="0" w:color="auto"/>
                                <w:left w:val="none" w:sz="0" w:space="0" w:color="auto"/>
                                <w:bottom w:val="none" w:sz="0" w:space="0" w:color="auto"/>
                                <w:right w:val="none" w:sz="0" w:space="0" w:color="auto"/>
                              </w:divBdr>
                              <w:divsChild>
                                <w:div w:id="85420338">
                                  <w:marLeft w:val="0"/>
                                  <w:marRight w:val="0"/>
                                  <w:marTop w:val="0"/>
                                  <w:marBottom w:val="420"/>
                                  <w:divBdr>
                                    <w:top w:val="none" w:sz="0" w:space="0" w:color="auto"/>
                                    <w:left w:val="none" w:sz="0" w:space="0" w:color="auto"/>
                                    <w:bottom w:val="none" w:sz="0" w:space="0" w:color="auto"/>
                                    <w:right w:val="none" w:sz="0" w:space="0" w:color="auto"/>
                                  </w:divBdr>
                                  <w:divsChild>
                                    <w:div w:id="167421338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653072">
      <w:bodyDiv w:val="1"/>
      <w:marLeft w:val="0"/>
      <w:marRight w:val="0"/>
      <w:marTop w:val="0"/>
      <w:marBottom w:val="0"/>
      <w:divBdr>
        <w:top w:val="none" w:sz="0" w:space="0" w:color="auto"/>
        <w:left w:val="none" w:sz="0" w:space="0" w:color="auto"/>
        <w:bottom w:val="none" w:sz="0" w:space="0" w:color="auto"/>
        <w:right w:val="none" w:sz="0" w:space="0" w:color="auto"/>
      </w:divBdr>
      <w:divsChild>
        <w:div w:id="1380475835">
          <w:marLeft w:val="0"/>
          <w:marRight w:val="0"/>
          <w:marTop w:val="0"/>
          <w:marBottom w:val="0"/>
          <w:divBdr>
            <w:top w:val="none" w:sz="0" w:space="0" w:color="auto"/>
            <w:left w:val="none" w:sz="0" w:space="0" w:color="auto"/>
            <w:bottom w:val="none" w:sz="0" w:space="0" w:color="auto"/>
            <w:right w:val="none" w:sz="0" w:space="0" w:color="auto"/>
          </w:divBdr>
          <w:divsChild>
            <w:div w:id="20522799">
              <w:marLeft w:val="0"/>
              <w:marRight w:val="0"/>
              <w:marTop w:val="0"/>
              <w:marBottom w:val="0"/>
              <w:divBdr>
                <w:top w:val="none" w:sz="0" w:space="0" w:color="auto"/>
                <w:left w:val="none" w:sz="0" w:space="0" w:color="auto"/>
                <w:bottom w:val="none" w:sz="0" w:space="0" w:color="auto"/>
                <w:right w:val="none" w:sz="0" w:space="0" w:color="auto"/>
              </w:divBdr>
              <w:divsChild>
                <w:div w:id="407962157">
                  <w:marLeft w:val="0"/>
                  <w:marRight w:val="0"/>
                  <w:marTop w:val="0"/>
                  <w:marBottom w:val="0"/>
                  <w:divBdr>
                    <w:top w:val="none" w:sz="0" w:space="0" w:color="auto"/>
                    <w:left w:val="none" w:sz="0" w:space="0" w:color="auto"/>
                    <w:bottom w:val="none" w:sz="0" w:space="0" w:color="auto"/>
                    <w:right w:val="none" w:sz="0" w:space="0" w:color="auto"/>
                  </w:divBdr>
                  <w:divsChild>
                    <w:div w:id="751976243">
                      <w:marLeft w:val="0"/>
                      <w:marRight w:val="0"/>
                      <w:marTop w:val="0"/>
                      <w:marBottom w:val="0"/>
                      <w:divBdr>
                        <w:top w:val="none" w:sz="0" w:space="0" w:color="auto"/>
                        <w:left w:val="none" w:sz="0" w:space="0" w:color="auto"/>
                        <w:bottom w:val="none" w:sz="0" w:space="0" w:color="auto"/>
                        <w:right w:val="none" w:sz="0" w:space="0" w:color="auto"/>
                      </w:divBdr>
                      <w:divsChild>
                        <w:div w:id="1883784128">
                          <w:marLeft w:val="0"/>
                          <w:marRight w:val="0"/>
                          <w:marTop w:val="0"/>
                          <w:marBottom w:val="0"/>
                          <w:divBdr>
                            <w:top w:val="none" w:sz="0" w:space="0" w:color="auto"/>
                            <w:left w:val="none" w:sz="0" w:space="0" w:color="auto"/>
                            <w:bottom w:val="none" w:sz="0" w:space="0" w:color="auto"/>
                            <w:right w:val="none" w:sz="0" w:space="0" w:color="auto"/>
                          </w:divBdr>
                          <w:divsChild>
                            <w:div w:id="12615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070853">
      <w:bodyDiv w:val="1"/>
      <w:marLeft w:val="0"/>
      <w:marRight w:val="0"/>
      <w:marTop w:val="0"/>
      <w:marBottom w:val="0"/>
      <w:divBdr>
        <w:top w:val="none" w:sz="0" w:space="0" w:color="auto"/>
        <w:left w:val="none" w:sz="0" w:space="0" w:color="auto"/>
        <w:bottom w:val="none" w:sz="0" w:space="0" w:color="auto"/>
        <w:right w:val="none" w:sz="0" w:space="0" w:color="auto"/>
      </w:divBdr>
    </w:div>
    <w:div w:id="732430365">
      <w:bodyDiv w:val="1"/>
      <w:marLeft w:val="0"/>
      <w:marRight w:val="0"/>
      <w:marTop w:val="0"/>
      <w:marBottom w:val="0"/>
      <w:divBdr>
        <w:top w:val="none" w:sz="0" w:space="0" w:color="auto"/>
        <w:left w:val="none" w:sz="0" w:space="0" w:color="auto"/>
        <w:bottom w:val="none" w:sz="0" w:space="0" w:color="auto"/>
        <w:right w:val="none" w:sz="0" w:space="0" w:color="auto"/>
      </w:divBdr>
    </w:div>
    <w:div w:id="734091170">
      <w:bodyDiv w:val="1"/>
      <w:marLeft w:val="0"/>
      <w:marRight w:val="0"/>
      <w:marTop w:val="0"/>
      <w:marBottom w:val="0"/>
      <w:divBdr>
        <w:top w:val="none" w:sz="0" w:space="0" w:color="auto"/>
        <w:left w:val="none" w:sz="0" w:space="0" w:color="auto"/>
        <w:bottom w:val="none" w:sz="0" w:space="0" w:color="auto"/>
        <w:right w:val="none" w:sz="0" w:space="0" w:color="auto"/>
      </w:divBdr>
    </w:div>
    <w:div w:id="736395098">
      <w:bodyDiv w:val="1"/>
      <w:marLeft w:val="0"/>
      <w:marRight w:val="0"/>
      <w:marTop w:val="0"/>
      <w:marBottom w:val="0"/>
      <w:divBdr>
        <w:top w:val="none" w:sz="0" w:space="0" w:color="auto"/>
        <w:left w:val="none" w:sz="0" w:space="0" w:color="auto"/>
        <w:bottom w:val="none" w:sz="0" w:space="0" w:color="auto"/>
        <w:right w:val="none" w:sz="0" w:space="0" w:color="auto"/>
      </w:divBdr>
    </w:div>
    <w:div w:id="742292788">
      <w:bodyDiv w:val="1"/>
      <w:marLeft w:val="0"/>
      <w:marRight w:val="0"/>
      <w:marTop w:val="0"/>
      <w:marBottom w:val="0"/>
      <w:divBdr>
        <w:top w:val="none" w:sz="0" w:space="0" w:color="auto"/>
        <w:left w:val="none" w:sz="0" w:space="0" w:color="auto"/>
        <w:bottom w:val="none" w:sz="0" w:space="0" w:color="auto"/>
        <w:right w:val="none" w:sz="0" w:space="0" w:color="auto"/>
      </w:divBdr>
    </w:div>
    <w:div w:id="748306443">
      <w:bodyDiv w:val="1"/>
      <w:marLeft w:val="0"/>
      <w:marRight w:val="0"/>
      <w:marTop w:val="0"/>
      <w:marBottom w:val="0"/>
      <w:divBdr>
        <w:top w:val="none" w:sz="0" w:space="0" w:color="auto"/>
        <w:left w:val="none" w:sz="0" w:space="0" w:color="auto"/>
        <w:bottom w:val="none" w:sz="0" w:space="0" w:color="auto"/>
        <w:right w:val="none" w:sz="0" w:space="0" w:color="auto"/>
      </w:divBdr>
    </w:div>
    <w:div w:id="748579392">
      <w:bodyDiv w:val="1"/>
      <w:marLeft w:val="0"/>
      <w:marRight w:val="0"/>
      <w:marTop w:val="0"/>
      <w:marBottom w:val="0"/>
      <w:divBdr>
        <w:top w:val="none" w:sz="0" w:space="0" w:color="auto"/>
        <w:left w:val="none" w:sz="0" w:space="0" w:color="auto"/>
        <w:bottom w:val="none" w:sz="0" w:space="0" w:color="auto"/>
        <w:right w:val="none" w:sz="0" w:space="0" w:color="auto"/>
      </w:divBdr>
      <w:divsChild>
        <w:div w:id="496458603">
          <w:marLeft w:val="0"/>
          <w:marRight w:val="0"/>
          <w:marTop w:val="0"/>
          <w:marBottom w:val="0"/>
          <w:divBdr>
            <w:top w:val="none" w:sz="0" w:space="0" w:color="auto"/>
            <w:left w:val="none" w:sz="0" w:space="0" w:color="auto"/>
            <w:bottom w:val="none" w:sz="0" w:space="0" w:color="auto"/>
            <w:right w:val="none" w:sz="0" w:space="0" w:color="auto"/>
          </w:divBdr>
          <w:divsChild>
            <w:div w:id="482963678">
              <w:marLeft w:val="0"/>
              <w:marRight w:val="0"/>
              <w:marTop w:val="0"/>
              <w:marBottom w:val="0"/>
              <w:divBdr>
                <w:top w:val="none" w:sz="0" w:space="0" w:color="auto"/>
                <w:left w:val="none" w:sz="0" w:space="0" w:color="auto"/>
                <w:bottom w:val="none" w:sz="0" w:space="0" w:color="auto"/>
                <w:right w:val="none" w:sz="0" w:space="0" w:color="auto"/>
              </w:divBdr>
              <w:divsChild>
                <w:div w:id="1010333531">
                  <w:marLeft w:val="0"/>
                  <w:marRight w:val="0"/>
                  <w:marTop w:val="0"/>
                  <w:marBottom w:val="0"/>
                  <w:divBdr>
                    <w:top w:val="none" w:sz="0" w:space="0" w:color="auto"/>
                    <w:left w:val="none" w:sz="0" w:space="0" w:color="auto"/>
                    <w:bottom w:val="none" w:sz="0" w:space="0" w:color="auto"/>
                    <w:right w:val="none" w:sz="0" w:space="0" w:color="auto"/>
                  </w:divBdr>
                  <w:divsChild>
                    <w:div w:id="1931428250">
                      <w:marLeft w:val="0"/>
                      <w:marRight w:val="0"/>
                      <w:marTop w:val="0"/>
                      <w:marBottom w:val="0"/>
                      <w:divBdr>
                        <w:top w:val="none" w:sz="0" w:space="0" w:color="auto"/>
                        <w:left w:val="none" w:sz="0" w:space="0" w:color="auto"/>
                        <w:bottom w:val="none" w:sz="0" w:space="0" w:color="auto"/>
                        <w:right w:val="none" w:sz="0" w:space="0" w:color="auto"/>
                      </w:divBdr>
                      <w:divsChild>
                        <w:div w:id="1878274541">
                          <w:marLeft w:val="0"/>
                          <w:marRight w:val="0"/>
                          <w:marTop w:val="0"/>
                          <w:marBottom w:val="0"/>
                          <w:divBdr>
                            <w:top w:val="none" w:sz="0" w:space="0" w:color="auto"/>
                            <w:left w:val="none" w:sz="0" w:space="0" w:color="auto"/>
                            <w:bottom w:val="none" w:sz="0" w:space="0" w:color="auto"/>
                            <w:right w:val="none" w:sz="0" w:space="0" w:color="auto"/>
                          </w:divBdr>
                          <w:divsChild>
                            <w:div w:id="1823691591">
                              <w:marLeft w:val="0"/>
                              <w:marRight w:val="0"/>
                              <w:marTop w:val="0"/>
                              <w:marBottom w:val="0"/>
                              <w:divBdr>
                                <w:top w:val="none" w:sz="0" w:space="0" w:color="auto"/>
                                <w:left w:val="none" w:sz="0" w:space="0" w:color="auto"/>
                                <w:bottom w:val="none" w:sz="0" w:space="0" w:color="auto"/>
                                <w:right w:val="none" w:sz="0" w:space="0" w:color="auto"/>
                              </w:divBdr>
                              <w:divsChild>
                                <w:div w:id="1191649976">
                                  <w:marLeft w:val="0"/>
                                  <w:marRight w:val="0"/>
                                  <w:marTop w:val="0"/>
                                  <w:marBottom w:val="0"/>
                                  <w:divBdr>
                                    <w:top w:val="none" w:sz="0" w:space="0" w:color="auto"/>
                                    <w:left w:val="none" w:sz="0" w:space="0" w:color="auto"/>
                                    <w:bottom w:val="none" w:sz="0" w:space="0" w:color="auto"/>
                                    <w:right w:val="none" w:sz="0" w:space="0" w:color="auto"/>
                                  </w:divBdr>
                                  <w:divsChild>
                                    <w:div w:id="12142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05718">
      <w:bodyDiv w:val="1"/>
      <w:marLeft w:val="0"/>
      <w:marRight w:val="0"/>
      <w:marTop w:val="0"/>
      <w:marBottom w:val="0"/>
      <w:divBdr>
        <w:top w:val="none" w:sz="0" w:space="0" w:color="auto"/>
        <w:left w:val="none" w:sz="0" w:space="0" w:color="auto"/>
        <w:bottom w:val="none" w:sz="0" w:space="0" w:color="auto"/>
        <w:right w:val="none" w:sz="0" w:space="0" w:color="auto"/>
      </w:divBdr>
    </w:div>
    <w:div w:id="760220773">
      <w:bodyDiv w:val="1"/>
      <w:marLeft w:val="0"/>
      <w:marRight w:val="0"/>
      <w:marTop w:val="0"/>
      <w:marBottom w:val="0"/>
      <w:divBdr>
        <w:top w:val="none" w:sz="0" w:space="0" w:color="auto"/>
        <w:left w:val="none" w:sz="0" w:space="0" w:color="auto"/>
        <w:bottom w:val="none" w:sz="0" w:space="0" w:color="auto"/>
        <w:right w:val="none" w:sz="0" w:space="0" w:color="auto"/>
      </w:divBdr>
    </w:div>
    <w:div w:id="765077161">
      <w:bodyDiv w:val="1"/>
      <w:marLeft w:val="0"/>
      <w:marRight w:val="0"/>
      <w:marTop w:val="0"/>
      <w:marBottom w:val="0"/>
      <w:divBdr>
        <w:top w:val="none" w:sz="0" w:space="0" w:color="auto"/>
        <w:left w:val="none" w:sz="0" w:space="0" w:color="auto"/>
        <w:bottom w:val="none" w:sz="0" w:space="0" w:color="auto"/>
        <w:right w:val="none" w:sz="0" w:space="0" w:color="auto"/>
      </w:divBdr>
    </w:div>
    <w:div w:id="766116294">
      <w:bodyDiv w:val="1"/>
      <w:marLeft w:val="0"/>
      <w:marRight w:val="0"/>
      <w:marTop w:val="0"/>
      <w:marBottom w:val="0"/>
      <w:divBdr>
        <w:top w:val="none" w:sz="0" w:space="0" w:color="auto"/>
        <w:left w:val="none" w:sz="0" w:space="0" w:color="auto"/>
        <w:bottom w:val="none" w:sz="0" w:space="0" w:color="auto"/>
        <w:right w:val="none" w:sz="0" w:space="0" w:color="auto"/>
      </w:divBdr>
    </w:div>
    <w:div w:id="772096930">
      <w:bodyDiv w:val="1"/>
      <w:marLeft w:val="0"/>
      <w:marRight w:val="0"/>
      <w:marTop w:val="0"/>
      <w:marBottom w:val="0"/>
      <w:divBdr>
        <w:top w:val="none" w:sz="0" w:space="0" w:color="auto"/>
        <w:left w:val="none" w:sz="0" w:space="0" w:color="auto"/>
        <w:bottom w:val="none" w:sz="0" w:space="0" w:color="auto"/>
        <w:right w:val="none" w:sz="0" w:space="0" w:color="auto"/>
      </w:divBdr>
    </w:div>
    <w:div w:id="777024213">
      <w:bodyDiv w:val="1"/>
      <w:marLeft w:val="0"/>
      <w:marRight w:val="0"/>
      <w:marTop w:val="0"/>
      <w:marBottom w:val="0"/>
      <w:divBdr>
        <w:top w:val="none" w:sz="0" w:space="0" w:color="auto"/>
        <w:left w:val="none" w:sz="0" w:space="0" w:color="auto"/>
        <w:bottom w:val="none" w:sz="0" w:space="0" w:color="auto"/>
        <w:right w:val="none" w:sz="0" w:space="0" w:color="auto"/>
      </w:divBdr>
    </w:div>
    <w:div w:id="786432600">
      <w:bodyDiv w:val="1"/>
      <w:marLeft w:val="0"/>
      <w:marRight w:val="0"/>
      <w:marTop w:val="0"/>
      <w:marBottom w:val="0"/>
      <w:divBdr>
        <w:top w:val="none" w:sz="0" w:space="0" w:color="auto"/>
        <w:left w:val="none" w:sz="0" w:space="0" w:color="auto"/>
        <w:bottom w:val="none" w:sz="0" w:space="0" w:color="auto"/>
        <w:right w:val="none" w:sz="0" w:space="0" w:color="auto"/>
      </w:divBdr>
    </w:div>
    <w:div w:id="796949313">
      <w:bodyDiv w:val="1"/>
      <w:marLeft w:val="0"/>
      <w:marRight w:val="0"/>
      <w:marTop w:val="0"/>
      <w:marBottom w:val="0"/>
      <w:divBdr>
        <w:top w:val="none" w:sz="0" w:space="0" w:color="auto"/>
        <w:left w:val="none" w:sz="0" w:space="0" w:color="auto"/>
        <w:bottom w:val="none" w:sz="0" w:space="0" w:color="auto"/>
        <w:right w:val="none" w:sz="0" w:space="0" w:color="auto"/>
      </w:divBdr>
    </w:div>
    <w:div w:id="797990439">
      <w:bodyDiv w:val="1"/>
      <w:marLeft w:val="0"/>
      <w:marRight w:val="0"/>
      <w:marTop w:val="0"/>
      <w:marBottom w:val="0"/>
      <w:divBdr>
        <w:top w:val="none" w:sz="0" w:space="0" w:color="auto"/>
        <w:left w:val="none" w:sz="0" w:space="0" w:color="auto"/>
        <w:bottom w:val="none" w:sz="0" w:space="0" w:color="auto"/>
        <w:right w:val="none" w:sz="0" w:space="0" w:color="auto"/>
      </w:divBdr>
    </w:div>
    <w:div w:id="799037043">
      <w:bodyDiv w:val="1"/>
      <w:marLeft w:val="0"/>
      <w:marRight w:val="0"/>
      <w:marTop w:val="0"/>
      <w:marBottom w:val="0"/>
      <w:divBdr>
        <w:top w:val="none" w:sz="0" w:space="0" w:color="auto"/>
        <w:left w:val="none" w:sz="0" w:space="0" w:color="auto"/>
        <w:bottom w:val="none" w:sz="0" w:space="0" w:color="auto"/>
        <w:right w:val="none" w:sz="0" w:space="0" w:color="auto"/>
      </w:divBdr>
    </w:div>
    <w:div w:id="801575418">
      <w:bodyDiv w:val="1"/>
      <w:marLeft w:val="0"/>
      <w:marRight w:val="0"/>
      <w:marTop w:val="0"/>
      <w:marBottom w:val="0"/>
      <w:divBdr>
        <w:top w:val="none" w:sz="0" w:space="0" w:color="auto"/>
        <w:left w:val="none" w:sz="0" w:space="0" w:color="auto"/>
        <w:bottom w:val="none" w:sz="0" w:space="0" w:color="auto"/>
        <w:right w:val="none" w:sz="0" w:space="0" w:color="auto"/>
      </w:divBdr>
    </w:div>
    <w:div w:id="803231729">
      <w:bodyDiv w:val="1"/>
      <w:marLeft w:val="0"/>
      <w:marRight w:val="0"/>
      <w:marTop w:val="0"/>
      <w:marBottom w:val="0"/>
      <w:divBdr>
        <w:top w:val="none" w:sz="0" w:space="0" w:color="auto"/>
        <w:left w:val="none" w:sz="0" w:space="0" w:color="auto"/>
        <w:bottom w:val="none" w:sz="0" w:space="0" w:color="auto"/>
        <w:right w:val="none" w:sz="0" w:space="0" w:color="auto"/>
      </w:divBdr>
    </w:div>
    <w:div w:id="803432005">
      <w:bodyDiv w:val="1"/>
      <w:marLeft w:val="0"/>
      <w:marRight w:val="0"/>
      <w:marTop w:val="0"/>
      <w:marBottom w:val="0"/>
      <w:divBdr>
        <w:top w:val="none" w:sz="0" w:space="0" w:color="auto"/>
        <w:left w:val="none" w:sz="0" w:space="0" w:color="auto"/>
        <w:bottom w:val="none" w:sz="0" w:space="0" w:color="auto"/>
        <w:right w:val="none" w:sz="0" w:space="0" w:color="auto"/>
      </w:divBdr>
    </w:div>
    <w:div w:id="813063478">
      <w:bodyDiv w:val="1"/>
      <w:marLeft w:val="0"/>
      <w:marRight w:val="0"/>
      <w:marTop w:val="0"/>
      <w:marBottom w:val="0"/>
      <w:divBdr>
        <w:top w:val="none" w:sz="0" w:space="0" w:color="auto"/>
        <w:left w:val="none" w:sz="0" w:space="0" w:color="auto"/>
        <w:bottom w:val="none" w:sz="0" w:space="0" w:color="auto"/>
        <w:right w:val="none" w:sz="0" w:space="0" w:color="auto"/>
      </w:divBdr>
      <w:divsChild>
        <w:div w:id="1897084960">
          <w:marLeft w:val="0"/>
          <w:marRight w:val="0"/>
          <w:marTop w:val="0"/>
          <w:marBottom w:val="0"/>
          <w:divBdr>
            <w:top w:val="none" w:sz="0" w:space="0" w:color="auto"/>
            <w:left w:val="none" w:sz="0" w:space="0" w:color="auto"/>
            <w:bottom w:val="none" w:sz="0" w:space="0" w:color="auto"/>
            <w:right w:val="none" w:sz="0" w:space="0" w:color="auto"/>
          </w:divBdr>
          <w:divsChild>
            <w:div w:id="554119758">
              <w:marLeft w:val="0"/>
              <w:marRight w:val="0"/>
              <w:marTop w:val="0"/>
              <w:marBottom w:val="0"/>
              <w:divBdr>
                <w:top w:val="none" w:sz="0" w:space="0" w:color="auto"/>
                <w:left w:val="none" w:sz="0" w:space="0" w:color="auto"/>
                <w:bottom w:val="none" w:sz="0" w:space="0" w:color="auto"/>
                <w:right w:val="none" w:sz="0" w:space="0" w:color="auto"/>
              </w:divBdr>
              <w:divsChild>
                <w:div w:id="1270889780">
                  <w:marLeft w:val="0"/>
                  <w:marRight w:val="0"/>
                  <w:marTop w:val="0"/>
                  <w:marBottom w:val="0"/>
                  <w:divBdr>
                    <w:top w:val="none" w:sz="0" w:space="0" w:color="auto"/>
                    <w:left w:val="none" w:sz="0" w:space="0" w:color="auto"/>
                    <w:bottom w:val="none" w:sz="0" w:space="0" w:color="auto"/>
                    <w:right w:val="none" w:sz="0" w:space="0" w:color="auto"/>
                  </w:divBdr>
                  <w:divsChild>
                    <w:div w:id="20400081">
                      <w:marLeft w:val="0"/>
                      <w:marRight w:val="0"/>
                      <w:marTop w:val="0"/>
                      <w:marBottom w:val="0"/>
                      <w:divBdr>
                        <w:top w:val="none" w:sz="0" w:space="0" w:color="auto"/>
                        <w:left w:val="none" w:sz="0" w:space="0" w:color="auto"/>
                        <w:bottom w:val="none" w:sz="0" w:space="0" w:color="auto"/>
                        <w:right w:val="none" w:sz="0" w:space="0" w:color="auto"/>
                      </w:divBdr>
                      <w:divsChild>
                        <w:div w:id="1574466605">
                          <w:marLeft w:val="0"/>
                          <w:marRight w:val="0"/>
                          <w:marTop w:val="0"/>
                          <w:marBottom w:val="420"/>
                          <w:divBdr>
                            <w:top w:val="none" w:sz="0" w:space="0" w:color="auto"/>
                            <w:left w:val="none" w:sz="0" w:space="0" w:color="auto"/>
                            <w:bottom w:val="none" w:sz="0" w:space="0" w:color="auto"/>
                            <w:right w:val="none" w:sz="0" w:space="0" w:color="auto"/>
                          </w:divBdr>
                          <w:divsChild>
                            <w:div w:id="1632634152">
                              <w:marLeft w:val="0"/>
                              <w:marRight w:val="0"/>
                              <w:marTop w:val="0"/>
                              <w:marBottom w:val="0"/>
                              <w:divBdr>
                                <w:top w:val="none" w:sz="0" w:space="0" w:color="auto"/>
                                <w:left w:val="none" w:sz="0" w:space="0" w:color="auto"/>
                                <w:bottom w:val="none" w:sz="0" w:space="0" w:color="auto"/>
                                <w:right w:val="none" w:sz="0" w:space="0" w:color="auto"/>
                              </w:divBdr>
                              <w:divsChild>
                                <w:div w:id="1077091976">
                                  <w:marLeft w:val="0"/>
                                  <w:marRight w:val="0"/>
                                  <w:marTop w:val="0"/>
                                  <w:marBottom w:val="420"/>
                                  <w:divBdr>
                                    <w:top w:val="none" w:sz="0" w:space="0" w:color="auto"/>
                                    <w:left w:val="none" w:sz="0" w:space="0" w:color="auto"/>
                                    <w:bottom w:val="none" w:sz="0" w:space="0" w:color="auto"/>
                                    <w:right w:val="none" w:sz="0" w:space="0" w:color="auto"/>
                                  </w:divBdr>
                                  <w:divsChild>
                                    <w:div w:id="11032047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585992">
      <w:bodyDiv w:val="1"/>
      <w:marLeft w:val="0"/>
      <w:marRight w:val="0"/>
      <w:marTop w:val="0"/>
      <w:marBottom w:val="0"/>
      <w:divBdr>
        <w:top w:val="none" w:sz="0" w:space="0" w:color="auto"/>
        <w:left w:val="none" w:sz="0" w:space="0" w:color="auto"/>
        <w:bottom w:val="none" w:sz="0" w:space="0" w:color="auto"/>
        <w:right w:val="none" w:sz="0" w:space="0" w:color="auto"/>
      </w:divBdr>
    </w:div>
    <w:div w:id="822745207">
      <w:bodyDiv w:val="1"/>
      <w:marLeft w:val="0"/>
      <w:marRight w:val="0"/>
      <w:marTop w:val="0"/>
      <w:marBottom w:val="0"/>
      <w:divBdr>
        <w:top w:val="none" w:sz="0" w:space="0" w:color="auto"/>
        <w:left w:val="none" w:sz="0" w:space="0" w:color="auto"/>
        <w:bottom w:val="none" w:sz="0" w:space="0" w:color="auto"/>
        <w:right w:val="none" w:sz="0" w:space="0" w:color="auto"/>
      </w:divBdr>
      <w:divsChild>
        <w:div w:id="1056271829">
          <w:marLeft w:val="0"/>
          <w:marRight w:val="0"/>
          <w:marTop w:val="0"/>
          <w:marBottom w:val="0"/>
          <w:divBdr>
            <w:top w:val="none" w:sz="0" w:space="0" w:color="auto"/>
            <w:left w:val="none" w:sz="0" w:space="0" w:color="auto"/>
            <w:bottom w:val="none" w:sz="0" w:space="0" w:color="auto"/>
            <w:right w:val="none" w:sz="0" w:space="0" w:color="auto"/>
          </w:divBdr>
          <w:divsChild>
            <w:div w:id="645477548">
              <w:marLeft w:val="0"/>
              <w:marRight w:val="0"/>
              <w:marTop w:val="0"/>
              <w:marBottom w:val="0"/>
              <w:divBdr>
                <w:top w:val="none" w:sz="0" w:space="0" w:color="auto"/>
                <w:left w:val="none" w:sz="0" w:space="0" w:color="auto"/>
                <w:bottom w:val="none" w:sz="0" w:space="0" w:color="auto"/>
                <w:right w:val="none" w:sz="0" w:space="0" w:color="auto"/>
              </w:divBdr>
              <w:divsChild>
                <w:div w:id="1817992446">
                  <w:marLeft w:val="0"/>
                  <w:marRight w:val="0"/>
                  <w:marTop w:val="0"/>
                  <w:marBottom w:val="0"/>
                  <w:divBdr>
                    <w:top w:val="none" w:sz="0" w:space="0" w:color="auto"/>
                    <w:left w:val="none" w:sz="0" w:space="0" w:color="auto"/>
                    <w:bottom w:val="none" w:sz="0" w:space="0" w:color="auto"/>
                    <w:right w:val="none" w:sz="0" w:space="0" w:color="auto"/>
                  </w:divBdr>
                  <w:divsChild>
                    <w:div w:id="1028221462">
                      <w:marLeft w:val="0"/>
                      <w:marRight w:val="0"/>
                      <w:marTop w:val="0"/>
                      <w:marBottom w:val="0"/>
                      <w:divBdr>
                        <w:top w:val="dotted" w:sz="2" w:space="0" w:color="CCCCCC"/>
                        <w:left w:val="dotted" w:sz="2" w:space="0" w:color="CCCCCC"/>
                        <w:bottom w:val="dotted" w:sz="2" w:space="0" w:color="CCCCCC"/>
                        <w:right w:val="dotted" w:sz="2" w:space="0" w:color="CCCCCC"/>
                      </w:divBdr>
                      <w:divsChild>
                        <w:div w:id="784889709">
                          <w:marLeft w:val="0"/>
                          <w:marRight w:val="0"/>
                          <w:marTop w:val="0"/>
                          <w:marBottom w:val="207"/>
                          <w:divBdr>
                            <w:top w:val="single" w:sz="4" w:space="5" w:color="EEE3C0"/>
                            <w:left w:val="single" w:sz="4" w:space="5" w:color="EEE3C0"/>
                            <w:bottom w:val="single" w:sz="4" w:space="5" w:color="EEE3C0"/>
                            <w:right w:val="single" w:sz="4" w:space="5" w:color="EEE3C0"/>
                          </w:divBdr>
                          <w:divsChild>
                            <w:div w:id="1847789059">
                              <w:marLeft w:val="0"/>
                              <w:marRight w:val="0"/>
                              <w:marTop w:val="0"/>
                              <w:marBottom w:val="0"/>
                              <w:divBdr>
                                <w:top w:val="none" w:sz="0" w:space="0" w:color="auto"/>
                                <w:left w:val="none" w:sz="0" w:space="0" w:color="auto"/>
                                <w:bottom w:val="none" w:sz="0" w:space="0" w:color="auto"/>
                                <w:right w:val="none" w:sz="0" w:space="0" w:color="auto"/>
                              </w:divBdr>
                              <w:divsChild>
                                <w:div w:id="603659325">
                                  <w:marLeft w:val="0"/>
                                  <w:marRight w:val="0"/>
                                  <w:marTop w:val="0"/>
                                  <w:marBottom w:val="0"/>
                                  <w:divBdr>
                                    <w:top w:val="none" w:sz="0" w:space="0" w:color="auto"/>
                                    <w:left w:val="none" w:sz="0" w:space="0" w:color="auto"/>
                                    <w:bottom w:val="none" w:sz="0" w:space="0" w:color="auto"/>
                                    <w:right w:val="none" w:sz="0" w:space="0" w:color="auto"/>
                                  </w:divBdr>
                                  <w:divsChild>
                                    <w:div w:id="18560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052924">
      <w:bodyDiv w:val="1"/>
      <w:marLeft w:val="0"/>
      <w:marRight w:val="0"/>
      <w:marTop w:val="0"/>
      <w:marBottom w:val="0"/>
      <w:divBdr>
        <w:top w:val="none" w:sz="0" w:space="0" w:color="auto"/>
        <w:left w:val="none" w:sz="0" w:space="0" w:color="auto"/>
        <w:bottom w:val="none" w:sz="0" w:space="0" w:color="auto"/>
        <w:right w:val="none" w:sz="0" w:space="0" w:color="auto"/>
      </w:divBdr>
    </w:div>
    <w:div w:id="836455878">
      <w:bodyDiv w:val="1"/>
      <w:marLeft w:val="0"/>
      <w:marRight w:val="0"/>
      <w:marTop w:val="0"/>
      <w:marBottom w:val="0"/>
      <w:divBdr>
        <w:top w:val="none" w:sz="0" w:space="0" w:color="auto"/>
        <w:left w:val="none" w:sz="0" w:space="0" w:color="auto"/>
        <w:bottom w:val="none" w:sz="0" w:space="0" w:color="auto"/>
        <w:right w:val="none" w:sz="0" w:space="0" w:color="auto"/>
      </w:divBdr>
    </w:div>
    <w:div w:id="839810633">
      <w:bodyDiv w:val="1"/>
      <w:marLeft w:val="0"/>
      <w:marRight w:val="0"/>
      <w:marTop w:val="0"/>
      <w:marBottom w:val="0"/>
      <w:divBdr>
        <w:top w:val="none" w:sz="0" w:space="0" w:color="auto"/>
        <w:left w:val="none" w:sz="0" w:space="0" w:color="auto"/>
        <w:bottom w:val="none" w:sz="0" w:space="0" w:color="auto"/>
        <w:right w:val="none" w:sz="0" w:space="0" w:color="auto"/>
      </w:divBdr>
    </w:div>
    <w:div w:id="842284569">
      <w:bodyDiv w:val="1"/>
      <w:marLeft w:val="0"/>
      <w:marRight w:val="0"/>
      <w:marTop w:val="0"/>
      <w:marBottom w:val="0"/>
      <w:divBdr>
        <w:top w:val="none" w:sz="0" w:space="0" w:color="auto"/>
        <w:left w:val="none" w:sz="0" w:space="0" w:color="auto"/>
        <w:bottom w:val="none" w:sz="0" w:space="0" w:color="auto"/>
        <w:right w:val="none" w:sz="0" w:space="0" w:color="auto"/>
      </w:divBdr>
    </w:div>
    <w:div w:id="845368557">
      <w:bodyDiv w:val="1"/>
      <w:marLeft w:val="0"/>
      <w:marRight w:val="0"/>
      <w:marTop w:val="0"/>
      <w:marBottom w:val="0"/>
      <w:divBdr>
        <w:top w:val="none" w:sz="0" w:space="0" w:color="auto"/>
        <w:left w:val="none" w:sz="0" w:space="0" w:color="auto"/>
        <w:bottom w:val="none" w:sz="0" w:space="0" w:color="auto"/>
        <w:right w:val="none" w:sz="0" w:space="0" w:color="auto"/>
      </w:divBdr>
    </w:div>
    <w:div w:id="850025402">
      <w:bodyDiv w:val="1"/>
      <w:marLeft w:val="0"/>
      <w:marRight w:val="0"/>
      <w:marTop w:val="0"/>
      <w:marBottom w:val="0"/>
      <w:divBdr>
        <w:top w:val="none" w:sz="0" w:space="0" w:color="auto"/>
        <w:left w:val="none" w:sz="0" w:space="0" w:color="auto"/>
        <w:bottom w:val="none" w:sz="0" w:space="0" w:color="auto"/>
        <w:right w:val="none" w:sz="0" w:space="0" w:color="auto"/>
      </w:divBdr>
    </w:div>
    <w:div w:id="852645516">
      <w:bodyDiv w:val="1"/>
      <w:marLeft w:val="0"/>
      <w:marRight w:val="0"/>
      <w:marTop w:val="0"/>
      <w:marBottom w:val="0"/>
      <w:divBdr>
        <w:top w:val="none" w:sz="0" w:space="0" w:color="auto"/>
        <w:left w:val="none" w:sz="0" w:space="0" w:color="auto"/>
        <w:bottom w:val="none" w:sz="0" w:space="0" w:color="auto"/>
        <w:right w:val="none" w:sz="0" w:space="0" w:color="auto"/>
      </w:divBdr>
    </w:div>
    <w:div w:id="858616371">
      <w:bodyDiv w:val="1"/>
      <w:marLeft w:val="0"/>
      <w:marRight w:val="0"/>
      <w:marTop w:val="0"/>
      <w:marBottom w:val="0"/>
      <w:divBdr>
        <w:top w:val="none" w:sz="0" w:space="0" w:color="auto"/>
        <w:left w:val="none" w:sz="0" w:space="0" w:color="auto"/>
        <w:bottom w:val="none" w:sz="0" w:space="0" w:color="auto"/>
        <w:right w:val="none" w:sz="0" w:space="0" w:color="auto"/>
      </w:divBdr>
      <w:divsChild>
        <w:div w:id="1936162015">
          <w:marLeft w:val="0"/>
          <w:marRight w:val="0"/>
          <w:marTop w:val="0"/>
          <w:marBottom w:val="0"/>
          <w:divBdr>
            <w:top w:val="none" w:sz="0" w:space="0" w:color="auto"/>
            <w:left w:val="none" w:sz="0" w:space="0" w:color="auto"/>
            <w:bottom w:val="none" w:sz="0" w:space="0" w:color="auto"/>
            <w:right w:val="none" w:sz="0" w:space="0" w:color="auto"/>
          </w:divBdr>
          <w:divsChild>
            <w:div w:id="578444107">
              <w:marLeft w:val="0"/>
              <w:marRight w:val="0"/>
              <w:marTop w:val="0"/>
              <w:marBottom w:val="0"/>
              <w:divBdr>
                <w:top w:val="single" w:sz="48" w:space="0" w:color="CCCCCC"/>
                <w:left w:val="single" w:sz="48" w:space="0" w:color="CCCCCC"/>
                <w:bottom w:val="single" w:sz="48" w:space="0" w:color="CCCCCC"/>
                <w:right w:val="single" w:sz="48" w:space="0" w:color="CCCCCC"/>
              </w:divBdr>
              <w:divsChild>
                <w:div w:id="343941120">
                  <w:marLeft w:val="0"/>
                  <w:marRight w:val="0"/>
                  <w:marTop w:val="0"/>
                  <w:marBottom w:val="0"/>
                  <w:divBdr>
                    <w:top w:val="single" w:sz="48" w:space="0" w:color="FFFFFF"/>
                    <w:left w:val="single" w:sz="48" w:space="0" w:color="FFFFFF"/>
                    <w:bottom w:val="single" w:sz="48" w:space="0" w:color="FFFFFF"/>
                    <w:right w:val="single" w:sz="48" w:space="0" w:color="FFFFFF"/>
                  </w:divBdr>
                  <w:divsChild>
                    <w:div w:id="171844821">
                      <w:marLeft w:val="0"/>
                      <w:marRight w:val="0"/>
                      <w:marTop w:val="0"/>
                      <w:marBottom w:val="0"/>
                      <w:divBdr>
                        <w:top w:val="single" w:sz="48" w:space="0" w:color="FFFFFF"/>
                        <w:left w:val="single" w:sz="48" w:space="0" w:color="FFFFFF"/>
                        <w:bottom w:val="single" w:sz="48" w:space="0" w:color="FFFFFF"/>
                        <w:right w:val="single" w:sz="48" w:space="0" w:color="FFFFFF"/>
                      </w:divBdr>
                      <w:divsChild>
                        <w:div w:id="653066317">
                          <w:marLeft w:val="-12"/>
                          <w:marRight w:val="-12"/>
                          <w:marTop w:val="480"/>
                          <w:marBottom w:val="0"/>
                          <w:divBdr>
                            <w:top w:val="single" w:sz="48" w:space="0" w:color="FFFFFF"/>
                            <w:left w:val="single" w:sz="48" w:space="0" w:color="FFFFFF"/>
                            <w:bottom w:val="single" w:sz="48" w:space="0" w:color="FFFFFF"/>
                            <w:right w:val="single" w:sz="48" w:space="0" w:color="FFFFFF"/>
                          </w:divBdr>
                          <w:divsChild>
                            <w:div w:id="11462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81405">
      <w:bodyDiv w:val="1"/>
      <w:marLeft w:val="0"/>
      <w:marRight w:val="0"/>
      <w:marTop w:val="0"/>
      <w:marBottom w:val="0"/>
      <w:divBdr>
        <w:top w:val="none" w:sz="0" w:space="0" w:color="auto"/>
        <w:left w:val="none" w:sz="0" w:space="0" w:color="auto"/>
        <w:bottom w:val="none" w:sz="0" w:space="0" w:color="auto"/>
        <w:right w:val="none" w:sz="0" w:space="0" w:color="auto"/>
      </w:divBdr>
    </w:div>
    <w:div w:id="879627383">
      <w:bodyDiv w:val="1"/>
      <w:marLeft w:val="0"/>
      <w:marRight w:val="0"/>
      <w:marTop w:val="0"/>
      <w:marBottom w:val="0"/>
      <w:divBdr>
        <w:top w:val="none" w:sz="0" w:space="0" w:color="auto"/>
        <w:left w:val="none" w:sz="0" w:space="0" w:color="auto"/>
        <w:bottom w:val="none" w:sz="0" w:space="0" w:color="auto"/>
        <w:right w:val="none" w:sz="0" w:space="0" w:color="auto"/>
      </w:divBdr>
    </w:div>
    <w:div w:id="896861314">
      <w:bodyDiv w:val="1"/>
      <w:marLeft w:val="0"/>
      <w:marRight w:val="0"/>
      <w:marTop w:val="0"/>
      <w:marBottom w:val="0"/>
      <w:divBdr>
        <w:top w:val="none" w:sz="0" w:space="0" w:color="auto"/>
        <w:left w:val="none" w:sz="0" w:space="0" w:color="auto"/>
        <w:bottom w:val="none" w:sz="0" w:space="0" w:color="auto"/>
        <w:right w:val="none" w:sz="0" w:space="0" w:color="auto"/>
      </w:divBdr>
    </w:div>
    <w:div w:id="897016092">
      <w:bodyDiv w:val="1"/>
      <w:marLeft w:val="0"/>
      <w:marRight w:val="0"/>
      <w:marTop w:val="0"/>
      <w:marBottom w:val="0"/>
      <w:divBdr>
        <w:top w:val="none" w:sz="0" w:space="0" w:color="auto"/>
        <w:left w:val="none" w:sz="0" w:space="0" w:color="auto"/>
        <w:bottom w:val="none" w:sz="0" w:space="0" w:color="auto"/>
        <w:right w:val="none" w:sz="0" w:space="0" w:color="auto"/>
      </w:divBdr>
    </w:div>
    <w:div w:id="901480245">
      <w:bodyDiv w:val="1"/>
      <w:marLeft w:val="0"/>
      <w:marRight w:val="0"/>
      <w:marTop w:val="0"/>
      <w:marBottom w:val="0"/>
      <w:divBdr>
        <w:top w:val="none" w:sz="0" w:space="0" w:color="auto"/>
        <w:left w:val="none" w:sz="0" w:space="0" w:color="auto"/>
        <w:bottom w:val="none" w:sz="0" w:space="0" w:color="auto"/>
        <w:right w:val="none" w:sz="0" w:space="0" w:color="auto"/>
      </w:divBdr>
    </w:div>
    <w:div w:id="904342170">
      <w:bodyDiv w:val="1"/>
      <w:marLeft w:val="0"/>
      <w:marRight w:val="0"/>
      <w:marTop w:val="0"/>
      <w:marBottom w:val="0"/>
      <w:divBdr>
        <w:top w:val="none" w:sz="0" w:space="0" w:color="auto"/>
        <w:left w:val="none" w:sz="0" w:space="0" w:color="auto"/>
        <w:bottom w:val="none" w:sz="0" w:space="0" w:color="auto"/>
        <w:right w:val="none" w:sz="0" w:space="0" w:color="auto"/>
      </w:divBdr>
    </w:div>
    <w:div w:id="904683016">
      <w:bodyDiv w:val="1"/>
      <w:marLeft w:val="0"/>
      <w:marRight w:val="0"/>
      <w:marTop w:val="0"/>
      <w:marBottom w:val="0"/>
      <w:divBdr>
        <w:top w:val="none" w:sz="0" w:space="0" w:color="auto"/>
        <w:left w:val="none" w:sz="0" w:space="0" w:color="auto"/>
        <w:bottom w:val="none" w:sz="0" w:space="0" w:color="auto"/>
        <w:right w:val="none" w:sz="0" w:space="0" w:color="auto"/>
      </w:divBdr>
      <w:divsChild>
        <w:div w:id="703095936">
          <w:marLeft w:val="0"/>
          <w:marRight w:val="0"/>
          <w:marTop w:val="0"/>
          <w:marBottom w:val="0"/>
          <w:divBdr>
            <w:top w:val="none" w:sz="0" w:space="0" w:color="auto"/>
            <w:left w:val="none" w:sz="0" w:space="0" w:color="auto"/>
            <w:bottom w:val="none" w:sz="0" w:space="0" w:color="auto"/>
            <w:right w:val="none" w:sz="0" w:space="0" w:color="auto"/>
          </w:divBdr>
          <w:divsChild>
            <w:div w:id="725952072">
              <w:marLeft w:val="0"/>
              <w:marRight w:val="0"/>
              <w:marTop w:val="0"/>
              <w:marBottom w:val="0"/>
              <w:divBdr>
                <w:top w:val="none" w:sz="0" w:space="0" w:color="auto"/>
                <w:left w:val="none" w:sz="0" w:space="0" w:color="auto"/>
                <w:bottom w:val="none" w:sz="0" w:space="0" w:color="auto"/>
                <w:right w:val="none" w:sz="0" w:space="0" w:color="auto"/>
              </w:divBdr>
              <w:divsChild>
                <w:div w:id="1476993724">
                  <w:marLeft w:val="0"/>
                  <w:marRight w:val="0"/>
                  <w:marTop w:val="0"/>
                  <w:marBottom w:val="0"/>
                  <w:divBdr>
                    <w:top w:val="none" w:sz="0" w:space="0" w:color="auto"/>
                    <w:left w:val="none" w:sz="0" w:space="0" w:color="auto"/>
                    <w:bottom w:val="none" w:sz="0" w:space="0" w:color="auto"/>
                    <w:right w:val="none" w:sz="0" w:space="0" w:color="auto"/>
                  </w:divBdr>
                  <w:divsChild>
                    <w:div w:id="324742473">
                      <w:marLeft w:val="0"/>
                      <w:marRight w:val="0"/>
                      <w:marTop w:val="0"/>
                      <w:marBottom w:val="0"/>
                      <w:divBdr>
                        <w:top w:val="none" w:sz="0" w:space="0" w:color="auto"/>
                        <w:left w:val="none" w:sz="0" w:space="0" w:color="auto"/>
                        <w:bottom w:val="none" w:sz="0" w:space="0" w:color="auto"/>
                        <w:right w:val="none" w:sz="0" w:space="0" w:color="auto"/>
                      </w:divBdr>
                      <w:divsChild>
                        <w:div w:id="1212035102">
                          <w:marLeft w:val="0"/>
                          <w:marRight w:val="0"/>
                          <w:marTop w:val="0"/>
                          <w:marBottom w:val="420"/>
                          <w:divBdr>
                            <w:top w:val="none" w:sz="0" w:space="0" w:color="auto"/>
                            <w:left w:val="none" w:sz="0" w:space="0" w:color="auto"/>
                            <w:bottom w:val="none" w:sz="0" w:space="0" w:color="auto"/>
                            <w:right w:val="none" w:sz="0" w:space="0" w:color="auto"/>
                          </w:divBdr>
                          <w:divsChild>
                            <w:div w:id="1865973594">
                              <w:marLeft w:val="0"/>
                              <w:marRight w:val="0"/>
                              <w:marTop w:val="0"/>
                              <w:marBottom w:val="0"/>
                              <w:divBdr>
                                <w:top w:val="none" w:sz="0" w:space="0" w:color="auto"/>
                                <w:left w:val="none" w:sz="0" w:space="0" w:color="auto"/>
                                <w:bottom w:val="none" w:sz="0" w:space="0" w:color="auto"/>
                                <w:right w:val="none" w:sz="0" w:space="0" w:color="auto"/>
                              </w:divBdr>
                              <w:divsChild>
                                <w:div w:id="925186919">
                                  <w:marLeft w:val="0"/>
                                  <w:marRight w:val="0"/>
                                  <w:marTop w:val="0"/>
                                  <w:marBottom w:val="420"/>
                                  <w:divBdr>
                                    <w:top w:val="none" w:sz="0" w:space="0" w:color="auto"/>
                                    <w:left w:val="none" w:sz="0" w:space="0" w:color="auto"/>
                                    <w:bottom w:val="none" w:sz="0" w:space="0" w:color="auto"/>
                                    <w:right w:val="none" w:sz="0" w:space="0" w:color="auto"/>
                                  </w:divBdr>
                                  <w:divsChild>
                                    <w:div w:id="167071594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2113">
      <w:bodyDiv w:val="1"/>
      <w:marLeft w:val="0"/>
      <w:marRight w:val="0"/>
      <w:marTop w:val="0"/>
      <w:marBottom w:val="0"/>
      <w:divBdr>
        <w:top w:val="none" w:sz="0" w:space="0" w:color="auto"/>
        <w:left w:val="none" w:sz="0" w:space="0" w:color="auto"/>
        <w:bottom w:val="none" w:sz="0" w:space="0" w:color="auto"/>
        <w:right w:val="none" w:sz="0" w:space="0" w:color="auto"/>
      </w:divBdr>
    </w:div>
    <w:div w:id="909000876">
      <w:bodyDiv w:val="1"/>
      <w:marLeft w:val="0"/>
      <w:marRight w:val="0"/>
      <w:marTop w:val="0"/>
      <w:marBottom w:val="0"/>
      <w:divBdr>
        <w:top w:val="none" w:sz="0" w:space="0" w:color="auto"/>
        <w:left w:val="none" w:sz="0" w:space="0" w:color="auto"/>
        <w:bottom w:val="none" w:sz="0" w:space="0" w:color="auto"/>
        <w:right w:val="none" w:sz="0" w:space="0" w:color="auto"/>
      </w:divBdr>
    </w:div>
    <w:div w:id="910503627">
      <w:bodyDiv w:val="1"/>
      <w:marLeft w:val="0"/>
      <w:marRight w:val="0"/>
      <w:marTop w:val="0"/>
      <w:marBottom w:val="0"/>
      <w:divBdr>
        <w:top w:val="none" w:sz="0" w:space="0" w:color="auto"/>
        <w:left w:val="none" w:sz="0" w:space="0" w:color="auto"/>
        <w:bottom w:val="none" w:sz="0" w:space="0" w:color="auto"/>
        <w:right w:val="none" w:sz="0" w:space="0" w:color="auto"/>
      </w:divBdr>
    </w:div>
    <w:div w:id="911619566">
      <w:bodyDiv w:val="1"/>
      <w:marLeft w:val="0"/>
      <w:marRight w:val="0"/>
      <w:marTop w:val="0"/>
      <w:marBottom w:val="0"/>
      <w:divBdr>
        <w:top w:val="none" w:sz="0" w:space="0" w:color="auto"/>
        <w:left w:val="none" w:sz="0" w:space="0" w:color="auto"/>
        <w:bottom w:val="none" w:sz="0" w:space="0" w:color="auto"/>
        <w:right w:val="none" w:sz="0" w:space="0" w:color="auto"/>
      </w:divBdr>
    </w:div>
    <w:div w:id="912130580">
      <w:bodyDiv w:val="1"/>
      <w:marLeft w:val="0"/>
      <w:marRight w:val="0"/>
      <w:marTop w:val="0"/>
      <w:marBottom w:val="0"/>
      <w:divBdr>
        <w:top w:val="none" w:sz="0" w:space="0" w:color="auto"/>
        <w:left w:val="none" w:sz="0" w:space="0" w:color="auto"/>
        <w:bottom w:val="none" w:sz="0" w:space="0" w:color="auto"/>
        <w:right w:val="none" w:sz="0" w:space="0" w:color="auto"/>
      </w:divBdr>
    </w:div>
    <w:div w:id="913200288">
      <w:bodyDiv w:val="1"/>
      <w:marLeft w:val="0"/>
      <w:marRight w:val="0"/>
      <w:marTop w:val="0"/>
      <w:marBottom w:val="0"/>
      <w:divBdr>
        <w:top w:val="none" w:sz="0" w:space="0" w:color="auto"/>
        <w:left w:val="none" w:sz="0" w:space="0" w:color="auto"/>
        <w:bottom w:val="none" w:sz="0" w:space="0" w:color="auto"/>
        <w:right w:val="none" w:sz="0" w:space="0" w:color="auto"/>
      </w:divBdr>
    </w:div>
    <w:div w:id="913244891">
      <w:bodyDiv w:val="1"/>
      <w:marLeft w:val="0"/>
      <w:marRight w:val="0"/>
      <w:marTop w:val="0"/>
      <w:marBottom w:val="0"/>
      <w:divBdr>
        <w:top w:val="none" w:sz="0" w:space="0" w:color="auto"/>
        <w:left w:val="none" w:sz="0" w:space="0" w:color="auto"/>
        <w:bottom w:val="none" w:sz="0" w:space="0" w:color="auto"/>
        <w:right w:val="none" w:sz="0" w:space="0" w:color="auto"/>
      </w:divBdr>
    </w:div>
    <w:div w:id="914634309">
      <w:bodyDiv w:val="1"/>
      <w:marLeft w:val="0"/>
      <w:marRight w:val="0"/>
      <w:marTop w:val="0"/>
      <w:marBottom w:val="0"/>
      <w:divBdr>
        <w:top w:val="none" w:sz="0" w:space="0" w:color="auto"/>
        <w:left w:val="none" w:sz="0" w:space="0" w:color="auto"/>
        <w:bottom w:val="none" w:sz="0" w:space="0" w:color="auto"/>
        <w:right w:val="none" w:sz="0" w:space="0" w:color="auto"/>
      </w:divBdr>
    </w:div>
    <w:div w:id="917322497">
      <w:bodyDiv w:val="1"/>
      <w:marLeft w:val="0"/>
      <w:marRight w:val="0"/>
      <w:marTop w:val="0"/>
      <w:marBottom w:val="0"/>
      <w:divBdr>
        <w:top w:val="none" w:sz="0" w:space="0" w:color="auto"/>
        <w:left w:val="none" w:sz="0" w:space="0" w:color="auto"/>
        <w:bottom w:val="none" w:sz="0" w:space="0" w:color="auto"/>
        <w:right w:val="none" w:sz="0" w:space="0" w:color="auto"/>
      </w:divBdr>
      <w:divsChild>
        <w:div w:id="2123529303">
          <w:marLeft w:val="0"/>
          <w:marRight w:val="0"/>
          <w:marTop w:val="0"/>
          <w:marBottom w:val="0"/>
          <w:divBdr>
            <w:top w:val="none" w:sz="0" w:space="0" w:color="auto"/>
            <w:left w:val="none" w:sz="0" w:space="0" w:color="auto"/>
            <w:bottom w:val="none" w:sz="0" w:space="0" w:color="auto"/>
            <w:right w:val="none" w:sz="0" w:space="0" w:color="auto"/>
          </w:divBdr>
          <w:divsChild>
            <w:div w:id="1371343739">
              <w:marLeft w:val="0"/>
              <w:marRight w:val="0"/>
              <w:marTop w:val="0"/>
              <w:marBottom w:val="0"/>
              <w:divBdr>
                <w:top w:val="none" w:sz="0" w:space="0" w:color="auto"/>
                <w:left w:val="none" w:sz="0" w:space="0" w:color="auto"/>
                <w:bottom w:val="none" w:sz="0" w:space="0" w:color="auto"/>
                <w:right w:val="none" w:sz="0" w:space="0" w:color="auto"/>
              </w:divBdr>
              <w:divsChild>
                <w:div w:id="127866373">
                  <w:marLeft w:val="0"/>
                  <w:marRight w:val="0"/>
                  <w:marTop w:val="0"/>
                  <w:marBottom w:val="0"/>
                  <w:divBdr>
                    <w:top w:val="none" w:sz="0" w:space="0" w:color="auto"/>
                    <w:left w:val="none" w:sz="0" w:space="0" w:color="auto"/>
                    <w:bottom w:val="none" w:sz="0" w:space="0" w:color="auto"/>
                    <w:right w:val="none" w:sz="0" w:space="0" w:color="auto"/>
                  </w:divBdr>
                  <w:divsChild>
                    <w:div w:id="816410825">
                      <w:marLeft w:val="0"/>
                      <w:marRight w:val="0"/>
                      <w:marTop w:val="0"/>
                      <w:marBottom w:val="0"/>
                      <w:divBdr>
                        <w:top w:val="none" w:sz="0" w:space="0" w:color="auto"/>
                        <w:left w:val="none" w:sz="0" w:space="0" w:color="auto"/>
                        <w:bottom w:val="none" w:sz="0" w:space="0" w:color="auto"/>
                        <w:right w:val="none" w:sz="0" w:space="0" w:color="auto"/>
                      </w:divBdr>
                      <w:divsChild>
                        <w:div w:id="1341814146">
                          <w:marLeft w:val="4950"/>
                          <w:marRight w:val="0"/>
                          <w:marTop w:val="9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5370">
      <w:bodyDiv w:val="1"/>
      <w:marLeft w:val="0"/>
      <w:marRight w:val="0"/>
      <w:marTop w:val="0"/>
      <w:marBottom w:val="0"/>
      <w:divBdr>
        <w:top w:val="none" w:sz="0" w:space="0" w:color="auto"/>
        <w:left w:val="none" w:sz="0" w:space="0" w:color="auto"/>
        <w:bottom w:val="none" w:sz="0" w:space="0" w:color="auto"/>
        <w:right w:val="none" w:sz="0" w:space="0" w:color="auto"/>
      </w:divBdr>
    </w:div>
    <w:div w:id="929386649">
      <w:bodyDiv w:val="1"/>
      <w:marLeft w:val="0"/>
      <w:marRight w:val="0"/>
      <w:marTop w:val="0"/>
      <w:marBottom w:val="0"/>
      <w:divBdr>
        <w:top w:val="none" w:sz="0" w:space="0" w:color="auto"/>
        <w:left w:val="none" w:sz="0" w:space="0" w:color="auto"/>
        <w:bottom w:val="none" w:sz="0" w:space="0" w:color="auto"/>
        <w:right w:val="none" w:sz="0" w:space="0" w:color="auto"/>
      </w:divBdr>
    </w:div>
    <w:div w:id="931201555">
      <w:bodyDiv w:val="1"/>
      <w:marLeft w:val="0"/>
      <w:marRight w:val="0"/>
      <w:marTop w:val="0"/>
      <w:marBottom w:val="0"/>
      <w:divBdr>
        <w:top w:val="none" w:sz="0" w:space="0" w:color="auto"/>
        <w:left w:val="none" w:sz="0" w:space="0" w:color="auto"/>
        <w:bottom w:val="none" w:sz="0" w:space="0" w:color="auto"/>
        <w:right w:val="none" w:sz="0" w:space="0" w:color="auto"/>
      </w:divBdr>
    </w:div>
    <w:div w:id="932010976">
      <w:bodyDiv w:val="1"/>
      <w:marLeft w:val="0"/>
      <w:marRight w:val="0"/>
      <w:marTop w:val="0"/>
      <w:marBottom w:val="0"/>
      <w:divBdr>
        <w:top w:val="none" w:sz="0" w:space="0" w:color="auto"/>
        <w:left w:val="none" w:sz="0" w:space="0" w:color="auto"/>
        <w:bottom w:val="none" w:sz="0" w:space="0" w:color="auto"/>
        <w:right w:val="none" w:sz="0" w:space="0" w:color="auto"/>
      </w:divBdr>
    </w:div>
    <w:div w:id="936210436">
      <w:bodyDiv w:val="1"/>
      <w:marLeft w:val="0"/>
      <w:marRight w:val="0"/>
      <w:marTop w:val="0"/>
      <w:marBottom w:val="0"/>
      <w:divBdr>
        <w:top w:val="none" w:sz="0" w:space="0" w:color="auto"/>
        <w:left w:val="none" w:sz="0" w:space="0" w:color="auto"/>
        <w:bottom w:val="none" w:sz="0" w:space="0" w:color="auto"/>
        <w:right w:val="none" w:sz="0" w:space="0" w:color="auto"/>
      </w:divBdr>
    </w:div>
    <w:div w:id="938413610">
      <w:bodyDiv w:val="1"/>
      <w:marLeft w:val="0"/>
      <w:marRight w:val="0"/>
      <w:marTop w:val="0"/>
      <w:marBottom w:val="0"/>
      <w:divBdr>
        <w:top w:val="none" w:sz="0" w:space="0" w:color="auto"/>
        <w:left w:val="none" w:sz="0" w:space="0" w:color="auto"/>
        <w:bottom w:val="none" w:sz="0" w:space="0" w:color="auto"/>
        <w:right w:val="none" w:sz="0" w:space="0" w:color="auto"/>
      </w:divBdr>
    </w:div>
    <w:div w:id="938827564">
      <w:bodyDiv w:val="1"/>
      <w:marLeft w:val="0"/>
      <w:marRight w:val="0"/>
      <w:marTop w:val="0"/>
      <w:marBottom w:val="0"/>
      <w:divBdr>
        <w:top w:val="none" w:sz="0" w:space="0" w:color="auto"/>
        <w:left w:val="none" w:sz="0" w:space="0" w:color="auto"/>
        <w:bottom w:val="none" w:sz="0" w:space="0" w:color="auto"/>
        <w:right w:val="none" w:sz="0" w:space="0" w:color="auto"/>
      </w:divBdr>
    </w:div>
    <w:div w:id="941062832">
      <w:bodyDiv w:val="1"/>
      <w:marLeft w:val="0"/>
      <w:marRight w:val="0"/>
      <w:marTop w:val="0"/>
      <w:marBottom w:val="0"/>
      <w:divBdr>
        <w:top w:val="none" w:sz="0" w:space="0" w:color="auto"/>
        <w:left w:val="none" w:sz="0" w:space="0" w:color="auto"/>
        <w:bottom w:val="none" w:sz="0" w:space="0" w:color="auto"/>
        <w:right w:val="none" w:sz="0" w:space="0" w:color="auto"/>
      </w:divBdr>
    </w:div>
    <w:div w:id="943076588">
      <w:bodyDiv w:val="1"/>
      <w:marLeft w:val="0"/>
      <w:marRight w:val="0"/>
      <w:marTop w:val="0"/>
      <w:marBottom w:val="0"/>
      <w:divBdr>
        <w:top w:val="none" w:sz="0" w:space="0" w:color="auto"/>
        <w:left w:val="none" w:sz="0" w:space="0" w:color="auto"/>
        <w:bottom w:val="none" w:sz="0" w:space="0" w:color="auto"/>
        <w:right w:val="none" w:sz="0" w:space="0" w:color="auto"/>
      </w:divBdr>
    </w:div>
    <w:div w:id="945651239">
      <w:bodyDiv w:val="1"/>
      <w:marLeft w:val="0"/>
      <w:marRight w:val="0"/>
      <w:marTop w:val="0"/>
      <w:marBottom w:val="0"/>
      <w:divBdr>
        <w:top w:val="none" w:sz="0" w:space="0" w:color="auto"/>
        <w:left w:val="none" w:sz="0" w:space="0" w:color="auto"/>
        <w:bottom w:val="none" w:sz="0" w:space="0" w:color="auto"/>
        <w:right w:val="none" w:sz="0" w:space="0" w:color="auto"/>
      </w:divBdr>
      <w:divsChild>
        <w:div w:id="2058312585">
          <w:marLeft w:val="0"/>
          <w:marRight w:val="0"/>
          <w:marTop w:val="0"/>
          <w:marBottom w:val="0"/>
          <w:divBdr>
            <w:top w:val="none" w:sz="0" w:space="0" w:color="auto"/>
            <w:left w:val="none" w:sz="0" w:space="0" w:color="auto"/>
            <w:bottom w:val="none" w:sz="0" w:space="0" w:color="auto"/>
            <w:right w:val="none" w:sz="0" w:space="0" w:color="auto"/>
          </w:divBdr>
          <w:divsChild>
            <w:div w:id="28455836">
              <w:marLeft w:val="0"/>
              <w:marRight w:val="0"/>
              <w:marTop w:val="0"/>
              <w:marBottom w:val="0"/>
              <w:divBdr>
                <w:top w:val="none" w:sz="0" w:space="0" w:color="auto"/>
                <w:left w:val="none" w:sz="0" w:space="0" w:color="auto"/>
                <w:bottom w:val="none" w:sz="0" w:space="0" w:color="auto"/>
                <w:right w:val="none" w:sz="0" w:space="0" w:color="auto"/>
              </w:divBdr>
              <w:divsChild>
                <w:div w:id="1625695204">
                  <w:marLeft w:val="0"/>
                  <w:marRight w:val="0"/>
                  <w:marTop w:val="0"/>
                  <w:marBottom w:val="0"/>
                  <w:divBdr>
                    <w:top w:val="none" w:sz="0" w:space="0" w:color="auto"/>
                    <w:left w:val="none" w:sz="0" w:space="0" w:color="auto"/>
                    <w:bottom w:val="none" w:sz="0" w:space="0" w:color="auto"/>
                    <w:right w:val="none" w:sz="0" w:space="0" w:color="auto"/>
                  </w:divBdr>
                  <w:divsChild>
                    <w:div w:id="283854295">
                      <w:marLeft w:val="0"/>
                      <w:marRight w:val="0"/>
                      <w:marTop w:val="0"/>
                      <w:marBottom w:val="0"/>
                      <w:divBdr>
                        <w:top w:val="none" w:sz="0" w:space="0" w:color="auto"/>
                        <w:left w:val="none" w:sz="0" w:space="0" w:color="auto"/>
                        <w:bottom w:val="none" w:sz="0" w:space="0" w:color="auto"/>
                        <w:right w:val="none" w:sz="0" w:space="0" w:color="auto"/>
                      </w:divBdr>
                      <w:divsChild>
                        <w:div w:id="2059163004">
                          <w:marLeft w:val="0"/>
                          <w:marRight w:val="0"/>
                          <w:marTop w:val="0"/>
                          <w:marBottom w:val="420"/>
                          <w:divBdr>
                            <w:top w:val="none" w:sz="0" w:space="0" w:color="auto"/>
                            <w:left w:val="none" w:sz="0" w:space="0" w:color="auto"/>
                            <w:bottom w:val="none" w:sz="0" w:space="0" w:color="auto"/>
                            <w:right w:val="none" w:sz="0" w:space="0" w:color="auto"/>
                          </w:divBdr>
                          <w:divsChild>
                            <w:div w:id="1463428288">
                              <w:marLeft w:val="0"/>
                              <w:marRight w:val="0"/>
                              <w:marTop w:val="0"/>
                              <w:marBottom w:val="0"/>
                              <w:divBdr>
                                <w:top w:val="none" w:sz="0" w:space="0" w:color="auto"/>
                                <w:left w:val="none" w:sz="0" w:space="0" w:color="auto"/>
                                <w:bottom w:val="none" w:sz="0" w:space="0" w:color="auto"/>
                                <w:right w:val="none" w:sz="0" w:space="0" w:color="auto"/>
                              </w:divBdr>
                              <w:divsChild>
                                <w:div w:id="778718022">
                                  <w:marLeft w:val="0"/>
                                  <w:marRight w:val="0"/>
                                  <w:marTop w:val="0"/>
                                  <w:marBottom w:val="420"/>
                                  <w:divBdr>
                                    <w:top w:val="none" w:sz="0" w:space="0" w:color="auto"/>
                                    <w:left w:val="none" w:sz="0" w:space="0" w:color="auto"/>
                                    <w:bottom w:val="none" w:sz="0" w:space="0" w:color="auto"/>
                                    <w:right w:val="none" w:sz="0" w:space="0" w:color="auto"/>
                                  </w:divBdr>
                                  <w:divsChild>
                                    <w:div w:id="84478927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80484">
      <w:bodyDiv w:val="1"/>
      <w:marLeft w:val="0"/>
      <w:marRight w:val="0"/>
      <w:marTop w:val="0"/>
      <w:marBottom w:val="0"/>
      <w:divBdr>
        <w:top w:val="none" w:sz="0" w:space="0" w:color="auto"/>
        <w:left w:val="none" w:sz="0" w:space="0" w:color="auto"/>
        <w:bottom w:val="none" w:sz="0" w:space="0" w:color="auto"/>
        <w:right w:val="none" w:sz="0" w:space="0" w:color="auto"/>
      </w:divBdr>
    </w:div>
    <w:div w:id="956982561">
      <w:bodyDiv w:val="1"/>
      <w:marLeft w:val="0"/>
      <w:marRight w:val="0"/>
      <w:marTop w:val="0"/>
      <w:marBottom w:val="0"/>
      <w:divBdr>
        <w:top w:val="none" w:sz="0" w:space="0" w:color="auto"/>
        <w:left w:val="none" w:sz="0" w:space="0" w:color="auto"/>
        <w:bottom w:val="none" w:sz="0" w:space="0" w:color="auto"/>
        <w:right w:val="none" w:sz="0" w:space="0" w:color="auto"/>
      </w:divBdr>
    </w:div>
    <w:div w:id="957032172">
      <w:bodyDiv w:val="1"/>
      <w:marLeft w:val="0"/>
      <w:marRight w:val="0"/>
      <w:marTop w:val="0"/>
      <w:marBottom w:val="0"/>
      <w:divBdr>
        <w:top w:val="none" w:sz="0" w:space="0" w:color="auto"/>
        <w:left w:val="none" w:sz="0" w:space="0" w:color="auto"/>
        <w:bottom w:val="none" w:sz="0" w:space="0" w:color="auto"/>
        <w:right w:val="none" w:sz="0" w:space="0" w:color="auto"/>
      </w:divBdr>
      <w:divsChild>
        <w:div w:id="1735663903">
          <w:marLeft w:val="0"/>
          <w:marRight w:val="0"/>
          <w:marTop w:val="0"/>
          <w:marBottom w:val="0"/>
          <w:divBdr>
            <w:top w:val="none" w:sz="0" w:space="0" w:color="auto"/>
            <w:left w:val="none" w:sz="0" w:space="0" w:color="auto"/>
            <w:bottom w:val="none" w:sz="0" w:space="0" w:color="auto"/>
            <w:right w:val="none" w:sz="0" w:space="0" w:color="auto"/>
          </w:divBdr>
          <w:divsChild>
            <w:div w:id="1916819201">
              <w:marLeft w:val="0"/>
              <w:marRight w:val="0"/>
              <w:marTop w:val="0"/>
              <w:marBottom w:val="0"/>
              <w:divBdr>
                <w:top w:val="none" w:sz="0" w:space="0" w:color="auto"/>
                <w:left w:val="none" w:sz="0" w:space="0" w:color="auto"/>
                <w:bottom w:val="none" w:sz="0" w:space="0" w:color="auto"/>
                <w:right w:val="none" w:sz="0" w:space="0" w:color="auto"/>
              </w:divBdr>
              <w:divsChild>
                <w:div w:id="1943220827">
                  <w:marLeft w:val="0"/>
                  <w:marRight w:val="0"/>
                  <w:marTop w:val="0"/>
                  <w:marBottom w:val="0"/>
                  <w:divBdr>
                    <w:top w:val="none" w:sz="0" w:space="0" w:color="auto"/>
                    <w:left w:val="none" w:sz="0" w:space="0" w:color="auto"/>
                    <w:bottom w:val="none" w:sz="0" w:space="0" w:color="auto"/>
                    <w:right w:val="none" w:sz="0" w:space="0" w:color="auto"/>
                  </w:divBdr>
                  <w:divsChild>
                    <w:div w:id="1103452916">
                      <w:marLeft w:val="0"/>
                      <w:marRight w:val="0"/>
                      <w:marTop w:val="0"/>
                      <w:marBottom w:val="0"/>
                      <w:divBdr>
                        <w:top w:val="none" w:sz="0" w:space="0" w:color="auto"/>
                        <w:left w:val="none" w:sz="0" w:space="0" w:color="auto"/>
                        <w:bottom w:val="none" w:sz="0" w:space="0" w:color="auto"/>
                        <w:right w:val="none" w:sz="0" w:space="0" w:color="auto"/>
                      </w:divBdr>
                      <w:divsChild>
                        <w:div w:id="282657410">
                          <w:marLeft w:val="0"/>
                          <w:marRight w:val="0"/>
                          <w:marTop w:val="0"/>
                          <w:marBottom w:val="420"/>
                          <w:divBdr>
                            <w:top w:val="none" w:sz="0" w:space="0" w:color="auto"/>
                            <w:left w:val="none" w:sz="0" w:space="0" w:color="auto"/>
                            <w:bottom w:val="none" w:sz="0" w:space="0" w:color="auto"/>
                            <w:right w:val="none" w:sz="0" w:space="0" w:color="auto"/>
                          </w:divBdr>
                          <w:divsChild>
                            <w:div w:id="130220429">
                              <w:marLeft w:val="0"/>
                              <w:marRight w:val="0"/>
                              <w:marTop w:val="0"/>
                              <w:marBottom w:val="0"/>
                              <w:divBdr>
                                <w:top w:val="none" w:sz="0" w:space="0" w:color="auto"/>
                                <w:left w:val="none" w:sz="0" w:space="0" w:color="auto"/>
                                <w:bottom w:val="none" w:sz="0" w:space="0" w:color="auto"/>
                                <w:right w:val="none" w:sz="0" w:space="0" w:color="auto"/>
                              </w:divBdr>
                              <w:divsChild>
                                <w:div w:id="716273916">
                                  <w:marLeft w:val="0"/>
                                  <w:marRight w:val="0"/>
                                  <w:marTop w:val="0"/>
                                  <w:marBottom w:val="420"/>
                                  <w:divBdr>
                                    <w:top w:val="none" w:sz="0" w:space="0" w:color="auto"/>
                                    <w:left w:val="none" w:sz="0" w:space="0" w:color="auto"/>
                                    <w:bottom w:val="none" w:sz="0" w:space="0" w:color="auto"/>
                                    <w:right w:val="none" w:sz="0" w:space="0" w:color="auto"/>
                                  </w:divBdr>
                                  <w:divsChild>
                                    <w:div w:id="196149563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322187">
      <w:bodyDiv w:val="1"/>
      <w:marLeft w:val="0"/>
      <w:marRight w:val="0"/>
      <w:marTop w:val="0"/>
      <w:marBottom w:val="0"/>
      <w:divBdr>
        <w:top w:val="none" w:sz="0" w:space="0" w:color="auto"/>
        <w:left w:val="none" w:sz="0" w:space="0" w:color="auto"/>
        <w:bottom w:val="none" w:sz="0" w:space="0" w:color="auto"/>
        <w:right w:val="none" w:sz="0" w:space="0" w:color="auto"/>
      </w:divBdr>
    </w:div>
    <w:div w:id="973950192">
      <w:bodyDiv w:val="1"/>
      <w:marLeft w:val="0"/>
      <w:marRight w:val="0"/>
      <w:marTop w:val="0"/>
      <w:marBottom w:val="0"/>
      <w:divBdr>
        <w:top w:val="none" w:sz="0" w:space="0" w:color="auto"/>
        <w:left w:val="none" w:sz="0" w:space="0" w:color="auto"/>
        <w:bottom w:val="none" w:sz="0" w:space="0" w:color="auto"/>
        <w:right w:val="none" w:sz="0" w:space="0" w:color="auto"/>
      </w:divBdr>
    </w:div>
    <w:div w:id="977220237">
      <w:bodyDiv w:val="1"/>
      <w:marLeft w:val="0"/>
      <w:marRight w:val="0"/>
      <w:marTop w:val="0"/>
      <w:marBottom w:val="0"/>
      <w:divBdr>
        <w:top w:val="none" w:sz="0" w:space="0" w:color="auto"/>
        <w:left w:val="none" w:sz="0" w:space="0" w:color="auto"/>
        <w:bottom w:val="none" w:sz="0" w:space="0" w:color="auto"/>
        <w:right w:val="none" w:sz="0" w:space="0" w:color="auto"/>
      </w:divBdr>
    </w:div>
    <w:div w:id="984547627">
      <w:bodyDiv w:val="1"/>
      <w:marLeft w:val="0"/>
      <w:marRight w:val="0"/>
      <w:marTop w:val="0"/>
      <w:marBottom w:val="0"/>
      <w:divBdr>
        <w:top w:val="none" w:sz="0" w:space="0" w:color="auto"/>
        <w:left w:val="none" w:sz="0" w:space="0" w:color="auto"/>
        <w:bottom w:val="none" w:sz="0" w:space="0" w:color="auto"/>
        <w:right w:val="none" w:sz="0" w:space="0" w:color="auto"/>
      </w:divBdr>
    </w:div>
    <w:div w:id="987436658">
      <w:bodyDiv w:val="1"/>
      <w:marLeft w:val="0"/>
      <w:marRight w:val="0"/>
      <w:marTop w:val="0"/>
      <w:marBottom w:val="0"/>
      <w:divBdr>
        <w:top w:val="none" w:sz="0" w:space="0" w:color="auto"/>
        <w:left w:val="none" w:sz="0" w:space="0" w:color="auto"/>
        <w:bottom w:val="none" w:sz="0" w:space="0" w:color="auto"/>
        <w:right w:val="none" w:sz="0" w:space="0" w:color="auto"/>
      </w:divBdr>
    </w:div>
    <w:div w:id="992218820">
      <w:bodyDiv w:val="1"/>
      <w:marLeft w:val="0"/>
      <w:marRight w:val="0"/>
      <w:marTop w:val="0"/>
      <w:marBottom w:val="0"/>
      <w:divBdr>
        <w:top w:val="none" w:sz="0" w:space="0" w:color="auto"/>
        <w:left w:val="none" w:sz="0" w:space="0" w:color="auto"/>
        <w:bottom w:val="none" w:sz="0" w:space="0" w:color="auto"/>
        <w:right w:val="none" w:sz="0" w:space="0" w:color="auto"/>
      </w:divBdr>
      <w:divsChild>
        <w:div w:id="1806893271">
          <w:marLeft w:val="0"/>
          <w:marRight w:val="0"/>
          <w:marTop w:val="0"/>
          <w:marBottom w:val="0"/>
          <w:divBdr>
            <w:top w:val="none" w:sz="0" w:space="0" w:color="auto"/>
            <w:left w:val="none" w:sz="0" w:space="0" w:color="auto"/>
            <w:bottom w:val="none" w:sz="0" w:space="0" w:color="auto"/>
            <w:right w:val="none" w:sz="0" w:space="0" w:color="auto"/>
          </w:divBdr>
          <w:divsChild>
            <w:div w:id="771555638">
              <w:marLeft w:val="0"/>
              <w:marRight w:val="0"/>
              <w:marTop w:val="0"/>
              <w:marBottom w:val="0"/>
              <w:divBdr>
                <w:top w:val="none" w:sz="0" w:space="0" w:color="auto"/>
                <w:left w:val="none" w:sz="0" w:space="0" w:color="auto"/>
                <w:bottom w:val="none" w:sz="0" w:space="0" w:color="auto"/>
                <w:right w:val="none" w:sz="0" w:space="0" w:color="auto"/>
              </w:divBdr>
              <w:divsChild>
                <w:div w:id="320349738">
                  <w:marLeft w:val="0"/>
                  <w:marRight w:val="0"/>
                  <w:marTop w:val="0"/>
                  <w:marBottom w:val="0"/>
                  <w:divBdr>
                    <w:top w:val="none" w:sz="0" w:space="0" w:color="auto"/>
                    <w:left w:val="none" w:sz="0" w:space="0" w:color="auto"/>
                    <w:bottom w:val="none" w:sz="0" w:space="0" w:color="auto"/>
                    <w:right w:val="none" w:sz="0" w:space="0" w:color="auto"/>
                  </w:divBdr>
                  <w:divsChild>
                    <w:div w:id="162475542">
                      <w:marLeft w:val="0"/>
                      <w:marRight w:val="0"/>
                      <w:marTop w:val="0"/>
                      <w:marBottom w:val="0"/>
                      <w:divBdr>
                        <w:top w:val="none" w:sz="0" w:space="0" w:color="auto"/>
                        <w:left w:val="none" w:sz="0" w:space="0" w:color="auto"/>
                        <w:bottom w:val="none" w:sz="0" w:space="0" w:color="auto"/>
                        <w:right w:val="none" w:sz="0" w:space="0" w:color="auto"/>
                      </w:divBdr>
                    </w:div>
                    <w:div w:id="166947433">
                      <w:marLeft w:val="0"/>
                      <w:marRight w:val="0"/>
                      <w:marTop w:val="0"/>
                      <w:marBottom w:val="0"/>
                      <w:divBdr>
                        <w:top w:val="none" w:sz="0" w:space="0" w:color="auto"/>
                        <w:left w:val="none" w:sz="0" w:space="0" w:color="auto"/>
                        <w:bottom w:val="none" w:sz="0" w:space="0" w:color="auto"/>
                        <w:right w:val="none" w:sz="0" w:space="0" w:color="auto"/>
                      </w:divBdr>
                    </w:div>
                    <w:div w:id="611089316">
                      <w:marLeft w:val="0"/>
                      <w:marRight w:val="0"/>
                      <w:marTop w:val="0"/>
                      <w:marBottom w:val="0"/>
                      <w:divBdr>
                        <w:top w:val="none" w:sz="0" w:space="0" w:color="auto"/>
                        <w:left w:val="none" w:sz="0" w:space="0" w:color="auto"/>
                        <w:bottom w:val="none" w:sz="0" w:space="0" w:color="auto"/>
                        <w:right w:val="none" w:sz="0" w:space="0" w:color="auto"/>
                      </w:divBdr>
                    </w:div>
                    <w:div w:id="742263200">
                      <w:marLeft w:val="0"/>
                      <w:marRight w:val="0"/>
                      <w:marTop w:val="0"/>
                      <w:marBottom w:val="0"/>
                      <w:divBdr>
                        <w:top w:val="none" w:sz="0" w:space="0" w:color="auto"/>
                        <w:left w:val="none" w:sz="0" w:space="0" w:color="auto"/>
                        <w:bottom w:val="none" w:sz="0" w:space="0" w:color="auto"/>
                        <w:right w:val="none" w:sz="0" w:space="0" w:color="auto"/>
                      </w:divBdr>
                    </w:div>
                    <w:div w:id="819493098">
                      <w:marLeft w:val="0"/>
                      <w:marRight w:val="0"/>
                      <w:marTop w:val="0"/>
                      <w:marBottom w:val="0"/>
                      <w:divBdr>
                        <w:top w:val="none" w:sz="0" w:space="0" w:color="auto"/>
                        <w:left w:val="none" w:sz="0" w:space="0" w:color="auto"/>
                        <w:bottom w:val="none" w:sz="0" w:space="0" w:color="auto"/>
                        <w:right w:val="none" w:sz="0" w:space="0" w:color="auto"/>
                      </w:divBdr>
                    </w:div>
                    <w:div w:id="820731808">
                      <w:marLeft w:val="0"/>
                      <w:marRight w:val="0"/>
                      <w:marTop w:val="0"/>
                      <w:marBottom w:val="0"/>
                      <w:divBdr>
                        <w:top w:val="none" w:sz="0" w:space="0" w:color="auto"/>
                        <w:left w:val="none" w:sz="0" w:space="0" w:color="auto"/>
                        <w:bottom w:val="none" w:sz="0" w:space="0" w:color="auto"/>
                        <w:right w:val="none" w:sz="0" w:space="0" w:color="auto"/>
                      </w:divBdr>
                    </w:div>
                    <w:div w:id="833033736">
                      <w:marLeft w:val="0"/>
                      <w:marRight w:val="0"/>
                      <w:marTop w:val="0"/>
                      <w:marBottom w:val="0"/>
                      <w:divBdr>
                        <w:top w:val="none" w:sz="0" w:space="0" w:color="auto"/>
                        <w:left w:val="none" w:sz="0" w:space="0" w:color="auto"/>
                        <w:bottom w:val="none" w:sz="0" w:space="0" w:color="auto"/>
                        <w:right w:val="none" w:sz="0" w:space="0" w:color="auto"/>
                      </w:divBdr>
                    </w:div>
                    <w:div w:id="871309086">
                      <w:marLeft w:val="0"/>
                      <w:marRight w:val="0"/>
                      <w:marTop w:val="0"/>
                      <w:marBottom w:val="0"/>
                      <w:divBdr>
                        <w:top w:val="none" w:sz="0" w:space="0" w:color="auto"/>
                        <w:left w:val="none" w:sz="0" w:space="0" w:color="auto"/>
                        <w:bottom w:val="none" w:sz="0" w:space="0" w:color="auto"/>
                        <w:right w:val="none" w:sz="0" w:space="0" w:color="auto"/>
                      </w:divBdr>
                    </w:div>
                    <w:div w:id="1062680609">
                      <w:marLeft w:val="0"/>
                      <w:marRight w:val="0"/>
                      <w:marTop w:val="0"/>
                      <w:marBottom w:val="0"/>
                      <w:divBdr>
                        <w:top w:val="none" w:sz="0" w:space="0" w:color="auto"/>
                        <w:left w:val="none" w:sz="0" w:space="0" w:color="auto"/>
                        <w:bottom w:val="none" w:sz="0" w:space="0" w:color="auto"/>
                        <w:right w:val="none" w:sz="0" w:space="0" w:color="auto"/>
                      </w:divBdr>
                    </w:div>
                    <w:div w:id="1109424932">
                      <w:marLeft w:val="0"/>
                      <w:marRight w:val="0"/>
                      <w:marTop w:val="0"/>
                      <w:marBottom w:val="0"/>
                      <w:divBdr>
                        <w:top w:val="none" w:sz="0" w:space="0" w:color="auto"/>
                        <w:left w:val="none" w:sz="0" w:space="0" w:color="auto"/>
                        <w:bottom w:val="none" w:sz="0" w:space="0" w:color="auto"/>
                        <w:right w:val="none" w:sz="0" w:space="0" w:color="auto"/>
                      </w:divBdr>
                    </w:div>
                    <w:div w:id="1190685471">
                      <w:marLeft w:val="0"/>
                      <w:marRight w:val="0"/>
                      <w:marTop w:val="0"/>
                      <w:marBottom w:val="0"/>
                      <w:divBdr>
                        <w:top w:val="none" w:sz="0" w:space="0" w:color="auto"/>
                        <w:left w:val="none" w:sz="0" w:space="0" w:color="auto"/>
                        <w:bottom w:val="none" w:sz="0" w:space="0" w:color="auto"/>
                        <w:right w:val="none" w:sz="0" w:space="0" w:color="auto"/>
                      </w:divBdr>
                    </w:div>
                    <w:div w:id="1222525265">
                      <w:marLeft w:val="0"/>
                      <w:marRight w:val="0"/>
                      <w:marTop w:val="0"/>
                      <w:marBottom w:val="0"/>
                      <w:divBdr>
                        <w:top w:val="none" w:sz="0" w:space="0" w:color="auto"/>
                        <w:left w:val="none" w:sz="0" w:space="0" w:color="auto"/>
                        <w:bottom w:val="none" w:sz="0" w:space="0" w:color="auto"/>
                        <w:right w:val="none" w:sz="0" w:space="0" w:color="auto"/>
                      </w:divBdr>
                    </w:div>
                    <w:div w:id="1387484986">
                      <w:marLeft w:val="0"/>
                      <w:marRight w:val="0"/>
                      <w:marTop w:val="0"/>
                      <w:marBottom w:val="0"/>
                      <w:divBdr>
                        <w:top w:val="none" w:sz="0" w:space="0" w:color="auto"/>
                        <w:left w:val="none" w:sz="0" w:space="0" w:color="auto"/>
                        <w:bottom w:val="none" w:sz="0" w:space="0" w:color="auto"/>
                        <w:right w:val="none" w:sz="0" w:space="0" w:color="auto"/>
                      </w:divBdr>
                    </w:div>
                    <w:div w:id="1617447127">
                      <w:marLeft w:val="0"/>
                      <w:marRight w:val="0"/>
                      <w:marTop w:val="0"/>
                      <w:marBottom w:val="0"/>
                      <w:divBdr>
                        <w:top w:val="none" w:sz="0" w:space="0" w:color="auto"/>
                        <w:left w:val="none" w:sz="0" w:space="0" w:color="auto"/>
                        <w:bottom w:val="none" w:sz="0" w:space="0" w:color="auto"/>
                        <w:right w:val="none" w:sz="0" w:space="0" w:color="auto"/>
                      </w:divBdr>
                    </w:div>
                    <w:div w:id="1654875335">
                      <w:marLeft w:val="0"/>
                      <w:marRight w:val="0"/>
                      <w:marTop w:val="0"/>
                      <w:marBottom w:val="0"/>
                      <w:divBdr>
                        <w:top w:val="none" w:sz="0" w:space="0" w:color="auto"/>
                        <w:left w:val="none" w:sz="0" w:space="0" w:color="auto"/>
                        <w:bottom w:val="none" w:sz="0" w:space="0" w:color="auto"/>
                        <w:right w:val="none" w:sz="0" w:space="0" w:color="auto"/>
                      </w:divBdr>
                    </w:div>
                    <w:div w:id="1667131053">
                      <w:marLeft w:val="0"/>
                      <w:marRight w:val="0"/>
                      <w:marTop w:val="0"/>
                      <w:marBottom w:val="0"/>
                      <w:divBdr>
                        <w:top w:val="none" w:sz="0" w:space="0" w:color="auto"/>
                        <w:left w:val="none" w:sz="0" w:space="0" w:color="auto"/>
                        <w:bottom w:val="none" w:sz="0" w:space="0" w:color="auto"/>
                        <w:right w:val="none" w:sz="0" w:space="0" w:color="auto"/>
                      </w:divBdr>
                    </w:div>
                    <w:div w:id="1795175602">
                      <w:marLeft w:val="0"/>
                      <w:marRight w:val="0"/>
                      <w:marTop w:val="0"/>
                      <w:marBottom w:val="0"/>
                      <w:divBdr>
                        <w:top w:val="none" w:sz="0" w:space="0" w:color="auto"/>
                        <w:left w:val="none" w:sz="0" w:space="0" w:color="auto"/>
                        <w:bottom w:val="none" w:sz="0" w:space="0" w:color="auto"/>
                        <w:right w:val="none" w:sz="0" w:space="0" w:color="auto"/>
                      </w:divBdr>
                    </w:div>
                    <w:div w:id="1876313986">
                      <w:marLeft w:val="0"/>
                      <w:marRight w:val="0"/>
                      <w:marTop w:val="0"/>
                      <w:marBottom w:val="0"/>
                      <w:divBdr>
                        <w:top w:val="none" w:sz="0" w:space="0" w:color="auto"/>
                        <w:left w:val="none" w:sz="0" w:space="0" w:color="auto"/>
                        <w:bottom w:val="none" w:sz="0" w:space="0" w:color="auto"/>
                        <w:right w:val="none" w:sz="0" w:space="0" w:color="auto"/>
                      </w:divBdr>
                    </w:div>
                    <w:div w:id="1919316606">
                      <w:marLeft w:val="0"/>
                      <w:marRight w:val="0"/>
                      <w:marTop w:val="0"/>
                      <w:marBottom w:val="0"/>
                      <w:divBdr>
                        <w:top w:val="none" w:sz="0" w:space="0" w:color="auto"/>
                        <w:left w:val="none" w:sz="0" w:space="0" w:color="auto"/>
                        <w:bottom w:val="none" w:sz="0" w:space="0" w:color="auto"/>
                        <w:right w:val="none" w:sz="0" w:space="0" w:color="auto"/>
                      </w:divBdr>
                    </w:div>
                    <w:div w:id="1964967492">
                      <w:marLeft w:val="0"/>
                      <w:marRight w:val="0"/>
                      <w:marTop w:val="0"/>
                      <w:marBottom w:val="0"/>
                      <w:divBdr>
                        <w:top w:val="none" w:sz="0" w:space="0" w:color="auto"/>
                        <w:left w:val="none" w:sz="0" w:space="0" w:color="auto"/>
                        <w:bottom w:val="none" w:sz="0" w:space="0" w:color="auto"/>
                        <w:right w:val="none" w:sz="0" w:space="0" w:color="auto"/>
                      </w:divBdr>
                    </w:div>
                    <w:div w:id="2013294190">
                      <w:marLeft w:val="0"/>
                      <w:marRight w:val="0"/>
                      <w:marTop w:val="0"/>
                      <w:marBottom w:val="0"/>
                      <w:divBdr>
                        <w:top w:val="none" w:sz="0" w:space="0" w:color="auto"/>
                        <w:left w:val="none" w:sz="0" w:space="0" w:color="auto"/>
                        <w:bottom w:val="none" w:sz="0" w:space="0" w:color="auto"/>
                        <w:right w:val="none" w:sz="0" w:space="0" w:color="auto"/>
                      </w:divBdr>
                    </w:div>
                    <w:div w:id="2073847062">
                      <w:marLeft w:val="0"/>
                      <w:marRight w:val="0"/>
                      <w:marTop w:val="0"/>
                      <w:marBottom w:val="0"/>
                      <w:divBdr>
                        <w:top w:val="none" w:sz="0" w:space="0" w:color="auto"/>
                        <w:left w:val="none" w:sz="0" w:space="0" w:color="auto"/>
                        <w:bottom w:val="none" w:sz="0" w:space="0" w:color="auto"/>
                        <w:right w:val="none" w:sz="0" w:space="0" w:color="auto"/>
                      </w:divBdr>
                    </w:div>
                    <w:div w:id="21383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382479">
      <w:bodyDiv w:val="1"/>
      <w:marLeft w:val="0"/>
      <w:marRight w:val="0"/>
      <w:marTop w:val="0"/>
      <w:marBottom w:val="0"/>
      <w:divBdr>
        <w:top w:val="none" w:sz="0" w:space="0" w:color="auto"/>
        <w:left w:val="none" w:sz="0" w:space="0" w:color="auto"/>
        <w:bottom w:val="none" w:sz="0" w:space="0" w:color="auto"/>
        <w:right w:val="none" w:sz="0" w:space="0" w:color="auto"/>
      </w:divBdr>
    </w:div>
    <w:div w:id="997852403">
      <w:bodyDiv w:val="1"/>
      <w:marLeft w:val="0"/>
      <w:marRight w:val="0"/>
      <w:marTop w:val="0"/>
      <w:marBottom w:val="0"/>
      <w:divBdr>
        <w:top w:val="none" w:sz="0" w:space="0" w:color="auto"/>
        <w:left w:val="none" w:sz="0" w:space="0" w:color="auto"/>
        <w:bottom w:val="none" w:sz="0" w:space="0" w:color="auto"/>
        <w:right w:val="none" w:sz="0" w:space="0" w:color="auto"/>
      </w:divBdr>
    </w:div>
    <w:div w:id="1010375214">
      <w:bodyDiv w:val="1"/>
      <w:marLeft w:val="0"/>
      <w:marRight w:val="0"/>
      <w:marTop w:val="0"/>
      <w:marBottom w:val="0"/>
      <w:divBdr>
        <w:top w:val="none" w:sz="0" w:space="0" w:color="auto"/>
        <w:left w:val="none" w:sz="0" w:space="0" w:color="auto"/>
        <w:bottom w:val="none" w:sz="0" w:space="0" w:color="auto"/>
        <w:right w:val="none" w:sz="0" w:space="0" w:color="auto"/>
      </w:divBdr>
    </w:div>
    <w:div w:id="1012756515">
      <w:bodyDiv w:val="1"/>
      <w:marLeft w:val="0"/>
      <w:marRight w:val="0"/>
      <w:marTop w:val="0"/>
      <w:marBottom w:val="0"/>
      <w:divBdr>
        <w:top w:val="none" w:sz="0" w:space="0" w:color="auto"/>
        <w:left w:val="none" w:sz="0" w:space="0" w:color="auto"/>
        <w:bottom w:val="none" w:sz="0" w:space="0" w:color="auto"/>
        <w:right w:val="none" w:sz="0" w:space="0" w:color="auto"/>
      </w:divBdr>
    </w:div>
    <w:div w:id="1015233234">
      <w:bodyDiv w:val="1"/>
      <w:marLeft w:val="0"/>
      <w:marRight w:val="0"/>
      <w:marTop w:val="0"/>
      <w:marBottom w:val="0"/>
      <w:divBdr>
        <w:top w:val="none" w:sz="0" w:space="0" w:color="auto"/>
        <w:left w:val="none" w:sz="0" w:space="0" w:color="auto"/>
        <w:bottom w:val="none" w:sz="0" w:space="0" w:color="auto"/>
        <w:right w:val="none" w:sz="0" w:space="0" w:color="auto"/>
      </w:divBdr>
    </w:div>
    <w:div w:id="1016273586">
      <w:bodyDiv w:val="1"/>
      <w:marLeft w:val="0"/>
      <w:marRight w:val="0"/>
      <w:marTop w:val="0"/>
      <w:marBottom w:val="0"/>
      <w:divBdr>
        <w:top w:val="none" w:sz="0" w:space="0" w:color="auto"/>
        <w:left w:val="none" w:sz="0" w:space="0" w:color="auto"/>
        <w:bottom w:val="none" w:sz="0" w:space="0" w:color="auto"/>
        <w:right w:val="none" w:sz="0" w:space="0" w:color="auto"/>
      </w:divBdr>
    </w:div>
    <w:div w:id="1019039142">
      <w:bodyDiv w:val="1"/>
      <w:marLeft w:val="0"/>
      <w:marRight w:val="0"/>
      <w:marTop w:val="0"/>
      <w:marBottom w:val="0"/>
      <w:divBdr>
        <w:top w:val="none" w:sz="0" w:space="0" w:color="auto"/>
        <w:left w:val="none" w:sz="0" w:space="0" w:color="auto"/>
        <w:bottom w:val="none" w:sz="0" w:space="0" w:color="auto"/>
        <w:right w:val="none" w:sz="0" w:space="0" w:color="auto"/>
      </w:divBdr>
    </w:div>
    <w:div w:id="1025398883">
      <w:bodyDiv w:val="1"/>
      <w:marLeft w:val="0"/>
      <w:marRight w:val="0"/>
      <w:marTop w:val="0"/>
      <w:marBottom w:val="0"/>
      <w:divBdr>
        <w:top w:val="none" w:sz="0" w:space="0" w:color="auto"/>
        <w:left w:val="none" w:sz="0" w:space="0" w:color="auto"/>
        <w:bottom w:val="none" w:sz="0" w:space="0" w:color="auto"/>
        <w:right w:val="none" w:sz="0" w:space="0" w:color="auto"/>
      </w:divBdr>
    </w:div>
    <w:div w:id="1028799163">
      <w:bodyDiv w:val="1"/>
      <w:marLeft w:val="0"/>
      <w:marRight w:val="0"/>
      <w:marTop w:val="0"/>
      <w:marBottom w:val="0"/>
      <w:divBdr>
        <w:top w:val="none" w:sz="0" w:space="0" w:color="auto"/>
        <w:left w:val="none" w:sz="0" w:space="0" w:color="auto"/>
        <w:bottom w:val="none" w:sz="0" w:space="0" w:color="auto"/>
        <w:right w:val="none" w:sz="0" w:space="0" w:color="auto"/>
      </w:divBdr>
    </w:div>
    <w:div w:id="1037776242">
      <w:bodyDiv w:val="1"/>
      <w:marLeft w:val="0"/>
      <w:marRight w:val="0"/>
      <w:marTop w:val="0"/>
      <w:marBottom w:val="0"/>
      <w:divBdr>
        <w:top w:val="none" w:sz="0" w:space="0" w:color="auto"/>
        <w:left w:val="none" w:sz="0" w:space="0" w:color="auto"/>
        <w:bottom w:val="none" w:sz="0" w:space="0" w:color="auto"/>
        <w:right w:val="none" w:sz="0" w:space="0" w:color="auto"/>
      </w:divBdr>
    </w:div>
    <w:div w:id="1044132452">
      <w:bodyDiv w:val="1"/>
      <w:marLeft w:val="0"/>
      <w:marRight w:val="0"/>
      <w:marTop w:val="0"/>
      <w:marBottom w:val="0"/>
      <w:divBdr>
        <w:top w:val="none" w:sz="0" w:space="0" w:color="auto"/>
        <w:left w:val="none" w:sz="0" w:space="0" w:color="auto"/>
        <w:bottom w:val="none" w:sz="0" w:space="0" w:color="auto"/>
        <w:right w:val="none" w:sz="0" w:space="0" w:color="auto"/>
      </w:divBdr>
    </w:div>
    <w:div w:id="1047534850">
      <w:bodyDiv w:val="1"/>
      <w:marLeft w:val="0"/>
      <w:marRight w:val="0"/>
      <w:marTop w:val="0"/>
      <w:marBottom w:val="0"/>
      <w:divBdr>
        <w:top w:val="none" w:sz="0" w:space="0" w:color="auto"/>
        <w:left w:val="none" w:sz="0" w:space="0" w:color="auto"/>
        <w:bottom w:val="none" w:sz="0" w:space="0" w:color="auto"/>
        <w:right w:val="none" w:sz="0" w:space="0" w:color="auto"/>
      </w:divBdr>
    </w:div>
    <w:div w:id="1050500105">
      <w:bodyDiv w:val="1"/>
      <w:marLeft w:val="0"/>
      <w:marRight w:val="0"/>
      <w:marTop w:val="0"/>
      <w:marBottom w:val="0"/>
      <w:divBdr>
        <w:top w:val="none" w:sz="0" w:space="0" w:color="auto"/>
        <w:left w:val="none" w:sz="0" w:space="0" w:color="auto"/>
        <w:bottom w:val="none" w:sz="0" w:space="0" w:color="auto"/>
        <w:right w:val="none" w:sz="0" w:space="0" w:color="auto"/>
      </w:divBdr>
    </w:div>
    <w:div w:id="1051809032">
      <w:bodyDiv w:val="1"/>
      <w:marLeft w:val="0"/>
      <w:marRight w:val="0"/>
      <w:marTop w:val="0"/>
      <w:marBottom w:val="0"/>
      <w:divBdr>
        <w:top w:val="none" w:sz="0" w:space="0" w:color="auto"/>
        <w:left w:val="none" w:sz="0" w:space="0" w:color="auto"/>
        <w:bottom w:val="none" w:sz="0" w:space="0" w:color="auto"/>
        <w:right w:val="none" w:sz="0" w:space="0" w:color="auto"/>
      </w:divBdr>
    </w:div>
    <w:div w:id="105343278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62480438">
      <w:bodyDiv w:val="1"/>
      <w:marLeft w:val="0"/>
      <w:marRight w:val="0"/>
      <w:marTop w:val="0"/>
      <w:marBottom w:val="0"/>
      <w:divBdr>
        <w:top w:val="none" w:sz="0" w:space="0" w:color="auto"/>
        <w:left w:val="none" w:sz="0" w:space="0" w:color="auto"/>
        <w:bottom w:val="none" w:sz="0" w:space="0" w:color="auto"/>
        <w:right w:val="none" w:sz="0" w:space="0" w:color="auto"/>
      </w:divBdr>
    </w:div>
    <w:div w:id="1070694155">
      <w:bodyDiv w:val="1"/>
      <w:marLeft w:val="0"/>
      <w:marRight w:val="0"/>
      <w:marTop w:val="0"/>
      <w:marBottom w:val="0"/>
      <w:divBdr>
        <w:top w:val="none" w:sz="0" w:space="0" w:color="auto"/>
        <w:left w:val="none" w:sz="0" w:space="0" w:color="auto"/>
        <w:bottom w:val="none" w:sz="0" w:space="0" w:color="auto"/>
        <w:right w:val="none" w:sz="0" w:space="0" w:color="auto"/>
      </w:divBdr>
    </w:div>
    <w:div w:id="1075009585">
      <w:bodyDiv w:val="1"/>
      <w:marLeft w:val="0"/>
      <w:marRight w:val="0"/>
      <w:marTop w:val="0"/>
      <w:marBottom w:val="0"/>
      <w:divBdr>
        <w:top w:val="none" w:sz="0" w:space="0" w:color="auto"/>
        <w:left w:val="none" w:sz="0" w:space="0" w:color="auto"/>
        <w:bottom w:val="none" w:sz="0" w:space="0" w:color="auto"/>
        <w:right w:val="none" w:sz="0" w:space="0" w:color="auto"/>
      </w:divBdr>
    </w:div>
    <w:div w:id="1078676803">
      <w:bodyDiv w:val="1"/>
      <w:marLeft w:val="0"/>
      <w:marRight w:val="0"/>
      <w:marTop w:val="0"/>
      <w:marBottom w:val="0"/>
      <w:divBdr>
        <w:top w:val="none" w:sz="0" w:space="0" w:color="auto"/>
        <w:left w:val="none" w:sz="0" w:space="0" w:color="auto"/>
        <w:bottom w:val="none" w:sz="0" w:space="0" w:color="auto"/>
        <w:right w:val="none" w:sz="0" w:space="0" w:color="auto"/>
      </w:divBdr>
    </w:div>
    <w:div w:id="1079211417">
      <w:bodyDiv w:val="1"/>
      <w:marLeft w:val="0"/>
      <w:marRight w:val="0"/>
      <w:marTop w:val="0"/>
      <w:marBottom w:val="0"/>
      <w:divBdr>
        <w:top w:val="none" w:sz="0" w:space="0" w:color="auto"/>
        <w:left w:val="none" w:sz="0" w:space="0" w:color="auto"/>
        <w:bottom w:val="none" w:sz="0" w:space="0" w:color="auto"/>
        <w:right w:val="none" w:sz="0" w:space="0" w:color="auto"/>
      </w:divBdr>
    </w:div>
    <w:div w:id="1080560543">
      <w:bodyDiv w:val="1"/>
      <w:marLeft w:val="0"/>
      <w:marRight w:val="0"/>
      <w:marTop w:val="0"/>
      <w:marBottom w:val="0"/>
      <w:divBdr>
        <w:top w:val="none" w:sz="0" w:space="0" w:color="auto"/>
        <w:left w:val="none" w:sz="0" w:space="0" w:color="auto"/>
        <w:bottom w:val="none" w:sz="0" w:space="0" w:color="auto"/>
        <w:right w:val="none" w:sz="0" w:space="0" w:color="auto"/>
      </w:divBdr>
    </w:div>
    <w:div w:id="1080709796">
      <w:bodyDiv w:val="1"/>
      <w:marLeft w:val="0"/>
      <w:marRight w:val="0"/>
      <w:marTop w:val="0"/>
      <w:marBottom w:val="0"/>
      <w:divBdr>
        <w:top w:val="none" w:sz="0" w:space="0" w:color="auto"/>
        <w:left w:val="none" w:sz="0" w:space="0" w:color="auto"/>
        <w:bottom w:val="none" w:sz="0" w:space="0" w:color="auto"/>
        <w:right w:val="none" w:sz="0" w:space="0" w:color="auto"/>
      </w:divBdr>
    </w:div>
    <w:div w:id="1091200333">
      <w:bodyDiv w:val="1"/>
      <w:marLeft w:val="0"/>
      <w:marRight w:val="0"/>
      <w:marTop w:val="0"/>
      <w:marBottom w:val="0"/>
      <w:divBdr>
        <w:top w:val="none" w:sz="0" w:space="0" w:color="auto"/>
        <w:left w:val="none" w:sz="0" w:space="0" w:color="auto"/>
        <w:bottom w:val="none" w:sz="0" w:space="0" w:color="auto"/>
        <w:right w:val="none" w:sz="0" w:space="0" w:color="auto"/>
      </w:divBdr>
    </w:div>
    <w:div w:id="1102456724">
      <w:bodyDiv w:val="1"/>
      <w:marLeft w:val="0"/>
      <w:marRight w:val="0"/>
      <w:marTop w:val="0"/>
      <w:marBottom w:val="0"/>
      <w:divBdr>
        <w:top w:val="none" w:sz="0" w:space="0" w:color="auto"/>
        <w:left w:val="none" w:sz="0" w:space="0" w:color="auto"/>
        <w:bottom w:val="none" w:sz="0" w:space="0" w:color="auto"/>
        <w:right w:val="none" w:sz="0" w:space="0" w:color="auto"/>
      </w:divBdr>
    </w:div>
    <w:div w:id="1105074625">
      <w:bodyDiv w:val="1"/>
      <w:marLeft w:val="0"/>
      <w:marRight w:val="0"/>
      <w:marTop w:val="0"/>
      <w:marBottom w:val="0"/>
      <w:divBdr>
        <w:top w:val="none" w:sz="0" w:space="0" w:color="auto"/>
        <w:left w:val="none" w:sz="0" w:space="0" w:color="auto"/>
        <w:bottom w:val="none" w:sz="0" w:space="0" w:color="auto"/>
        <w:right w:val="none" w:sz="0" w:space="0" w:color="auto"/>
      </w:divBdr>
    </w:div>
    <w:div w:id="1110704247">
      <w:bodyDiv w:val="1"/>
      <w:marLeft w:val="0"/>
      <w:marRight w:val="0"/>
      <w:marTop w:val="0"/>
      <w:marBottom w:val="0"/>
      <w:divBdr>
        <w:top w:val="none" w:sz="0" w:space="0" w:color="auto"/>
        <w:left w:val="none" w:sz="0" w:space="0" w:color="auto"/>
        <w:bottom w:val="none" w:sz="0" w:space="0" w:color="auto"/>
        <w:right w:val="none" w:sz="0" w:space="0" w:color="auto"/>
      </w:divBdr>
    </w:div>
    <w:div w:id="1115324410">
      <w:bodyDiv w:val="1"/>
      <w:marLeft w:val="0"/>
      <w:marRight w:val="0"/>
      <w:marTop w:val="0"/>
      <w:marBottom w:val="0"/>
      <w:divBdr>
        <w:top w:val="none" w:sz="0" w:space="0" w:color="auto"/>
        <w:left w:val="none" w:sz="0" w:space="0" w:color="auto"/>
        <w:bottom w:val="none" w:sz="0" w:space="0" w:color="auto"/>
        <w:right w:val="none" w:sz="0" w:space="0" w:color="auto"/>
      </w:divBdr>
    </w:div>
    <w:div w:id="1115756345">
      <w:bodyDiv w:val="1"/>
      <w:marLeft w:val="0"/>
      <w:marRight w:val="0"/>
      <w:marTop w:val="0"/>
      <w:marBottom w:val="0"/>
      <w:divBdr>
        <w:top w:val="none" w:sz="0" w:space="0" w:color="auto"/>
        <w:left w:val="none" w:sz="0" w:space="0" w:color="auto"/>
        <w:bottom w:val="none" w:sz="0" w:space="0" w:color="auto"/>
        <w:right w:val="none" w:sz="0" w:space="0" w:color="auto"/>
      </w:divBdr>
    </w:div>
    <w:div w:id="1121069984">
      <w:bodyDiv w:val="1"/>
      <w:marLeft w:val="0"/>
      <w:marRight w:val="0"/>
      <w:marTop w:val="0"/>
      <w:marBottom w:val="0"/>
      <w:divBdr>
        <w:top w:val="none" w:sz="0" w:space="0" w:color="auto"/>
        <w:left w:val="none" w:sz="0" w:space="0" w:color="auto"/>
        <w:bottom w:val="none" w:sz="0" w:space="0" w:color="auto"/>
        <w:right w:val="none" w:sz="0" w:space="0" w:color="auto"/>
      </w:divBdr>
    </w:div>
    <w:div w:id="1122959608">
      <w:bodyDiv w:val="1"/>
      <w:marLeft w:val="0"/>
      <w:marRight w:val="0"/>
      <w:marTop w:val="0"/>
      <w:marBottom w:val="0"/>
      <w:divBdr>
        <w:top w:val="none" w:sz="0" w:space="0" w:color="auto"/>
        <w:left w:val="none" w:sz="0" w:space="0" w:color="auto"/>
        <w:bottom w:val="none" w:sz="0" w:space="0" w:color="auto"/>
        <w:right w:val="none" w:sz="0" w:space="0" w:color="auto"/>
      </w:divBdr>
    </w:div>
    <w:div w:id="1131554899">
      <w:bodyDiv w:val="1"/>
      <w:marLeft w:val="0"/>
      <w:marRight w:val="0"/>
      <w:marTop w:val="0"/>
      <w:marBottom w:val="0"/>
      <w:divBdr>
        <w:top w:val="none" w:sz="0" w:space="0" w:color="auto"/>
        <w:left w:val="none" w:sz="0" w:space="0" w:color="auto"/>
        <w:bottom w:val="none" w:sz="0" w:space="0" w:color="auto"/>
        <w:right w:val="none" w:sz="0" w:space="0" w:color="auto"/>
      </w:divBdr>
    </w:div>
    <w:div w:id="1136068766">
      <w:bodyDiv w:val="1"/>
      <w:marLeft w:val="0"/>
      <w:marRight w:val="0"/>
      <w:marTop w:val="0"/>
      <w:marBottom w:val="0"/>
      <w:divBdr>
        <w:top w:val="none" w:sz="0" w:space="0" w:color="auto"/>
        <w:left w:val="none" w:sz="0" w:space="0" w:color="auto"/>
        <w:bottom w:val="none" w:sz="0" w:space="0" w:color="auto"/>
        <w:right w:val="none" w:sz="0" w:space="0" w:color="auto"/>
      </w:divBdr>
    </w:div>
    <w:div w:id="1140420513">
      <w:bodyDiv w:val="1"/>
      <w:marLeft w:val="0"/>
      <w:marRight w:val="0"/>
      <w:marTop w:val="0"/>
      <w:marBottom w:val="0"/>
      <w:divBdr>
        <w:top w:val="none" w:sz="0" w:space="0" w:color="auto"/>
        <w:left w:val="none" w:sz="0" w:space="0" w:color="auto"/>
        <w:bottom w:val="none" w:sz="0" w:space="0" w:color="auto"/>
        <w:right w:val="none" w:sz="0" w:space="0" w:color="auto"/>
      </w:divBdr>
    </w:div>
    <w:div w:id="1146553214">
      <w:bodyDiv w:val="1"/>
      <w:marLeft w:val="0"/>
      <w:marRight w:val="0"/>
      <w:marTop w:val="0"/>
      <w:marBottom w:val="0"/>
      <w:divBdr>
        <w:top w:val="none" w:sz="0" w:space="0" w:color="auto"/>
        <w:left w:val="none" w:sz="0" w:space="0" w:color="auto"/>
        <w:bottom w:val="none" w:sz="0" w:space="0" w:color="auto"/>
        <w:right w:val="none" w:sz="0" w:space="0" w:color="auto"/>
      </w:divBdr>
    </w:div>
    <w:div w:id="1150902278">
      <w:bodyDiv w:val="1"/>
      <w:marLeft w:val="0"/>
      <w:marRight w:val="0"/>
      <w:marTop w:val="0"/>
      <w:marBottom w:val="0"/>
      <w:divBdr>
        <w:top w:val="none" w:sz="0" w:space="0" w:color="auto"/>
        <w:left w:val="none" w:sz="0" w:space="0" w:color="auto"/>
        <w:bottom w:val="none" w:sz="0" w:space="0" w:color="auto"/>
        <w:right w:val="none" w:sz="0" w:space="0" w:color="auto"/>
      </w:divBdr>
      <w:divsChild>
        <w:div w:id="1641571123">
          <w:marLeft w:val="0"/>
          <w:marRight w:val="0"/>
          <w:marTop w:val="0"/>
          <w:marBottom w:val="0"/>
          <w:divBdr>
            <w:top w:val="none" w:sz="0" w:space="0" w:color="auto"/>
            <w:left w:val="none" w:sz="0" w:space="0" w:color="auto"/>
            <w:bottom w:val="none" w:sz="0" w:space="0" w:color="auto"/>
            <w:right w:val="none" w:sz="0" w:space="0" w:color="auto"/>
          </w:divBdr>
          <w:divsChild>
            <w:div w:id="429206497">
              <w:marLeft w:val="0"/>
              <w:marRight w:val="0"/>
              <w:marTop w:val="0"/>
              <w:marBottom w:val="0"/>
              <w:divBdr>
                <w:top w:val="none" w:sz="0" w:space="0" w:color="auto"/>
                <w:left w:val="none" w:sz="0" w:space="0" w:color="auto"/>
                <w:bottom w:val="none" w:sz="0" w:space="0" w:color="auto"/>
                <w:right w:val="none" w:sz="0" w:space="0" w:color="auto"/>
              </w:divBdr>
              <w:divsChild>
                <w:div w:id="148792967">
                  <w:marLeft w:val="0"/>
                  <w:marRight w:val="0"/>
                  <w:marTop w:val="0"/>
                  <w:marBottom w:val="0"/>
                  <w:divBdr>
                    <w:top w:val="none" w:sz="0" w:space="0" w:color="auto"/>
                    <w:left w:val="none" w:sz="0" w:space="0" w:color="auto"/>
                    <w:bottom w:val="none" w:sz="0" w:space="0" w:color="auto"/>
                    <w:right w:val="none" w:sz="0" w:space="0" w:color="auto"/>
                  </w:divBdr>
                  <w:divsChild>
                    <w:div w:id="823425346">
                      <w:marLeft w:val="0"/>
                      <w:marRight w:val="0"/>
                      <w:marTop w:val="0"/>
                      <w:marBottom w:val="0"/>
                      <w:divBdr>
                        <w:top w:val="none" w:sz="0" w:space="0" w:color="auto"/>
                        <w:left w:val="none" w:sz="0" w:space="0" w:color="auto"/>
                        <w:bottom w:val="none" w:sz="0" w:space="0" w:color="auto"/>
                        <w:right w:val="none" w:sz="0" w:space="0" w:color="auto"/>
                      </w:divBdr>
                      <w:divsChild>
                        <w:div w:id="942225773">
                          <w:marLeft w:val="0"/>
                          <w:marRight w:val="0"/>
                          <w:marTop w:val="0"/>
                          <w:marBottom w:val="0"/>
                          <w:divBdr>
                            <w:top w:val="none" w:sz="0" w:space="0" w:color="auto"/>
                            <w:left w:val="none" w:sz="0" w:space="0" w:color="auto"/>
                            <w:bottom w:val="none" w:sz="0" w:space="0" w:color="auto"/>
                            <w:right w:val="none" w:sz="0" w:space="0" w:color="auto"/>
                          </w:divBdr>
                          <w:divsChild>
                            <w:div w:id="46999172">
                              <w:marLeft w:val="0"/>
                              <w:marRight w:val="0"/>
                              <w:marTop w:val="0"/>
                              <w:marBottom w:val="0"/>
                              <w:divBdr>
                                <w:top w:val="none" w:sz="0" w:space="0" w:color="auto"/>
                                <w:left w:val="none" w:sz="0" w:space="0" w:color="auto"/>
                                <w:bottom w:val="none" w:sz="0" w:space="0" w:color="auto"/>
                                <w:right w:val="none" w:sz="0" w:space="0" w:color="auto"/>
                              </w:divBdr>
                              <w:divsChild>
                                <w:div w:id="3152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2642">
                  <w:marLeft w:val="0"/>
                  <w:marRight w:val="0"/>
                  <w:marTop w:val="0"/>
                  <w:marBottom w:val="0"/>
                  <w:divBdr>
                    <w:top w:val="none" w:sz="0" w:space="0" w:color="auto"/>
                    <w:left w:val="none" w:sz="0" w:space="0" w:color="auto"/>
                    <w:bottom w:val="none" w:sz="0" w:space="0" w:color="auto"/>
                    <w:right w:val="none" w:sz="0" w:space="0" w:color="auto"/>
                  </w:divBdr>
                  <w:divsChild>
                    <w:div w:id="165949271">
                      <w:marLeft w:val="0"/>
                      <w:marRight w:val="0"/>
                      <w:marTop w:val="0"/>
                      <w:marBottom w:val="0"/>
                      <w:divBdr>
                        <w:top w:val="none" w:sz="0" w:space="0" w:color="auto"/>
                        <w:left w:val="none" w:sz="0" w:space="0" w:color="auto"/>
                        <w:bottom w:val="none" w:sz="0" w:space="0" w:color="auto"/>
                        <w:right w:val="none" w:sz="0" w:space="0" w:color="auto"/>
                      </w:divBdr>
                      <w:divsChild>
                        <w:div w:id="736517283">
                          <w:marLeft w:val="0"/>
                          <w:marRight w:val="0"/>
                          <w:marTop w:val="0"/>
                          <w:marBottom w:val="420"/>
                          <w:divBdr>
                            <w:top w:val="none" w:sz="0" w:space="0" w:color="auto"/>
                            <w:left w:val="none" w:sz="0" w:space="0" w:color="auto"/>
                            <w:bottom w:val="none" w:sz="0" w:space="0" w:color="auto"/>
                            <w:right w:val="none" w:sz="0" w:space="0" w:color="auto"/>
                          </w:divBdr>
                          <w:divsChild>
                            <w:div w:id="474030470">
                              <w:marLeft w:val="0"/>
                              <w:marRight w:val="0"/>
                              <w:marTop w:val="0"/>
                              <w:marBottom w:val="0"/>
                              <w:divBdr>
                                <w:top w:val="none" w:sz="0" w:space="0" w:color="auto"/>
                                <w:left w:val="none" w:sz="0" w:space="0" w:color="auto"/>
                                <w:bottom w:val="none" w:sz="0" w:space="0" w:color="auto"/>
                                <w:right w:val="none" w:sz="0" w:space="0" w:color="auto"/>
                              </w:divBdr>
                              <w:divsChild>
                                <w:div w:id="367141641">
                                  <w:marLeft w:val="0"/>
                                  <w:marRight w:val="0"/>
                                  <w:marTop w:val="0"/>
                                  <w:marBottom w:val="420"/>
                                  <w:divBdr>
                                    <w:top w:val="none" w:sz="0" w:space="0" w:color="auto"/>
                                    <w:left w:val="none" w:sz="0" w:space="0" w:color="auto"/>
                                    <w:bottom w:val="none" w:sz="0" w:space="0" w:color="auto"/>
                                    <w:right w:val="none" w:sz="0" w:space="0" w:color="auto"/>
                                  </w:divBdr>
                                  <w:divsChild>
                                    <w:div w:id="40911333">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487584">
      <w:bodyDiv w:val="1"/>
      <w:marLeft w:val="0"/>
      <w:marRight w:val="0"/>
      <w:marTop w:val="0"/>
      <w:marBottom w:val="0"/>
      <w:divBdr>
        <w:top w:val="none" w:sz="0" w:space="0" w:color="auto"/>
        <w:left w:val="none" w:sz="0" w:space="0" w:color="auto"/>
        <w:bottom w:val="none" w:sz="0" w:space="0" w:color="auto"/>
        <w:right w:val="none" w:sz="0" w:space="0" w:color="auto"/>
      </w:divBdr>
    </w:div>
    <w:div w:id="1154755978">
      <w:bodyDiv w:val="1"/>
      <w:marLeft w:val="0"/>
      <w:marRight w:val="0"/>
      <w:marTop w:val="0"/>
      <w:marBottom w:val="0"/>
      <w:divBdr>
        <w:top w:val="none" w:sz="0" w:space="0" w:color="auto"/>
        <w:left w:val="none" w:sz="0" w:space="0" w:color="auto"/>
        <w:bottom w:val="none" w:sz="0" w:space="0" w:color="auto"/>
        <w:right w:val="none" w:sz="0" w:space="0" w:color="auto"/>
      </w:divBdr>
      <w:divsChild>
        <w:div w:id="549266646">
          <w:marLeft w:val="0"/>
          <w:marRight w:val="0"/>
          <w:marTop w:val="0"/>
          <w:marBottom w:val="0"/>
          <w:divBdr>
            <w:top w:val="none" w:sz="0" w:space="0" w:color="auto"/>
            <w:left w:val="none" w:sz="0" w:space="0" w:color="auto"/>
            <w:bottom w:val="none" w:sz="0" w:space="0" w:color="auto"/>
            <w:right w:val="none" w:sz="0" w:space="0" w:color="auto"/>
          </w:divBdr>
          <w:divsChild>
            <w:div w:id="1141001963">
              <w:marLeft w:val="0"/>
              <w:marRight w:val="0"/>
              <w:marTop w:val="0"/>
              <w:marBottom w:val="0"/>
              <w:divBdr>
                <w:top w:val="single" w:sz="48" w:space="0" w:color="CCCCCC"/>
                <w:left w:val="single" w:sz="48" w:space="0" w:color="CCCCCC"/>
                <w:bottom w:val="single" w:sz="48" w:space="0" w:color="CCCCCC"/>
                <w:right w:val="single" w:sz="48" w:space="0" w:color="CCCCCC"/>
              </w:divBdr>
              <w:divsChild>
                <w:div w:id="1735545540">
                  <w:marLeft w:val="0"/>
                  <w:marRight w:val="0"/>
                  <w:marTop w:val="0"/>
                  <w:marBottom w:val="0"/>
                  <w:divBdr>
                    <w:top w:val="single" w:sz="48" w:space="0" w:color="FFFFFF"/>
                    <w:left w:val="single" w:sz="48" w:space="0" w:color="FFFFFF"/>
                    <w:bottom w:val="single" w:sz="48" w:space="0" w:color="FFFFFF"/>
                    <w:right w:val="single" w:sz="48" w:space="0" w:color="FFFFFF"/>
                  </w:divBdr>
                  <w:divsChild>
                    <w:div w:id="282347988">
                      <w:marLeft w:val="0"/>
                      <w:marRight w:val="0"/>
                      <w:marTop w:val="0"/>
                      <w:marBottom w:val="0"/>
                      <w:divBdr>
                        <w:top w:val="single" w:sz="48" w:space="0" w:color="FFFFFF"/>
                        <w:left w:val="single" w:sz="48" w:space="0" w:color="FFFFFF"/>
                        <w:bottom w:val="single" w:sz="48" w:space="0" w:color="FFFFFF"/>
                        <w:right w:val="single" w:sz="48" w:space="0" w:color="FFFFFF"/>
                      </w:divBdr>
                      <w:divsChild>
                        <w:div w:id="1026104683">
                          <w:marLeft w:val="-15"/>
                          <w:marRight w:val="-15"/>
                          <w:marTop w:val="600"/>
                          <w:marBottom w:val="0"/>
                          <w:divBdr>
                            <w:top w:val="single" w:sz="48" w:space="0" w:color="FFFFFF"/>
                            <w:left w:val="single" w:sz="48" w:space="0" w:color="FFFFFF"/>
                            <w:bottom w:val="single" w:sz="48" w:space="0" w:color="FFFFFF"/>
                            <w:right w:val="single" w:sz="48" w:space="0" w:color="FFFFFF"/>
                          </w:divBdr>
                          <w:divsChild>
                            <w:div w:id="7661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16660">
      <w:bodyDiv w:val="1"/>
      <w:marLeft w:val="0"/>
      <w:marRight w:val="0"/>
      <w:marTop w:val="0"/>
      <w:marBottom w:val="0"/>
      <w:divBdr>
        <w:top w:val="none" w:sz="0" w:space="0" w:color="auto"/>
        <w:left w:val="none" w:sz="0" w:space="0" w:color="auto"/>
        <w:bottom w:val="none" w:sz="0" w:space="0" w:color="auto"/>
        <w:right w:val="none" w:sz="0" w:space="0" w:color="auto"/>
      </w:divBdr>
    </w:div>
    <w:div w:id="1164587866">
      <w:bodyDiv w:val="1"/>
      <w:marLeft w:val="0"/>
      <w:marRight w:val="0"/>
      <w:marTop w:val="0"/>
      <w:marBottom w:val="0"/>
      <w:divBdr>
        <w:top w:val="none" w:sz="0" w:space="0" w:color="auto"/>
        <w:left w:val="none" w:sz="0" w:space="0" w:color="auto"/>
        <w:bottom w:val="none" w:sz="0" w:space="0" w:color="auto"/>
        <w:right w:val="none" w:sz="0" w:space="0" w:color="auto"/>
      </w:divBdr>
    </w:div>
    <w:div w:id="1165167323">
      <w:bodyDiv w:val="1"/>
      <w:marLeft w:val="0"/>
      <w:marRight w:val="0"/>
      <w:marTop w:val="0"/>
      <w:marBottom w:val="0"/>
      <w:divBdr>
        <w:top w:val="none" w:sz="0" w:space="0" w:color="auto"/>
        <w:left w:val="none" w:sz="0" w:space="0" w:color="auto"/>
        <w:bottom w:val="none" w:sz="0" w:space="0" w:color="auto"/>
        <w:right w:val="none" w:sz="0" w:space="0" w:color="auto"/>
      </w:divBdr>
    </w:div>
    <w:div w:id="1179196574">
      <w:bodyDiv w:val="1"/>
      <w:marLeft w:val="0"/>
      <w:marRight w:val="0"/>
      <w:marTop w:val="0"/>
      <w:marBottom w:val="0"/>
      <w:divBdr>
        <w:top w:val="none" w:sz="0" w:space="0" w:color="auto"/>
        <w:left w:val="none" w:sz="0" w:space="0" w:color="auto"/>
        <w:bottom w:val="none" w:sz="0" w:space="0" w:color="auto"/>
        <w:right w:val="none" w:sz="0" w:space="0" w:color="auto"/>
      </w:divBdr>
    </w:div>
    <w:div w:id="1182284853">
      <w:bodyDiv w:val="1"/>
      <w:marLeft w:val="0"/>
      <w:marRight w:val="0"/>
      <w:marTop w:val="0"/>
      <w:marBottom w:val="0"/>
      <w:divBdr>
        <w:top w:val="none" w:sz="0" w:space="0" w:color="auto"/>
        <w:left w:val="none" w:sz="0" w:space="0" w:color="auto"/>
        <w:bottom w:val="none" w:sz="0" w:space="0" w:color="auto"/>
        <w:right w:val="none" w:sz="0" w:space="0" w:color="auto"/>
      </w:divBdr>
    </w:div>
    <w:div w:id="1187451511">
      <w:bodyDiv w:val="1"/>
      <w:marLeft w:val="0"/>
      <w:marRight w:val="0"/>
      <w:marTop w:val="0"/>
      <w:marBottom w:val="0"/>
      <w:divBdr>
        <w:top w:val="none" w:sz="0" w:space="0" w:color="auto"/>
        <w:left w:val="none" w:sz="0" w:space="0" w:color="auto"/>
        <w:bottom w:val="none" w:sz="0" w:space="0" w:color="auto"/>
        <w:right w:val="none" w:sz="0" w:space="0" w:color="auto"/>
      </w:divBdr>
    </w:div>
    <w:div w:id="1198153831">
      <w:bodyDiv w:val="1"/>
      <w:marLeft w:val="0"/>
      <w:marRight w:val="0"/>
      <w:marTop w:val="0"/>
      <w:marBottom w:val="0"/>
      <w:divBdr>
        <w:top w:val="none" w:sz="0" w:space="0" w:color="auto"/>
        <w:left w:val="none" w:sz="0" w:space="0" w:color="auto"/>
        <w:bottom w:val="none" w:sz="0" w:space="0" w:color="auto"/>
        <w:right w:val="none" w:sz="0" w:space="0" w:color="auto"/>
      </w:divBdr>
    </w:div>
    <w:div w:id="1200896569">
      <w:bodyDiv w:val="1"/>
      <w:marLeft w:val="0"/>
      <w:marRight w:val="0"/>
      <w:marTop w:val="0"/>
      <w:marBottom w:val="0"/>
      <w:divBdr>
        <w:top w:val="none" w:sz="0" w:space="0" w:color="auto"/>
        <w:left w:val="none" w:sz="0" w:space="0" w:color="auto"/>
        <w:bottom w:val="none" w:sz="0" w:space="0" w:color="auto"/>
        <w:right w:val="none" w:sz="0" w:space="0" w:color="auto"/>
      </w:divBdr>
    </w:div>
    <w:div w:id="1204446646">
      <w:bodyDiv w:val="1"/>
      <w:marLeft w:val="0"/>
      <w:marRight w:val="0"/>
      <w:marTop w:val="0"/>
      <w:marBottom w:val="0"/>
      <w:divBdr>
        <w:top w:val="none" w:sz="0" w:space="0" w:color="auto"/>
        <w:left w:val="none" w:sz="0" w:space="0" w:color="auto"/>
        <w:bottom w:val="none" w:sz="0" w:space="0" w:color="auto"/>
        <w:right w:val="none" w:sz="0" w:space="0" w:color="auto"/>
      </w:divBdr>
    </w:div>
    <w:div w:id="1204713017">
      <w:bodyDiv w:val="1"/>
      <w:marLeft w:val="0"/>
      <w:marRight w:val="0"/>
      <w:marTop w:val="0"/>
      <w:marBottom w:val="0"/>
      <w:divBdr>
        <w:top w:val="none" w:sz="0" w:space="0" w:color="auto"/>
        <w:left w:val="none" w:sz="0" w:space="0" w:color="auto"/>
        <w:bottom w:val="none" w:sz="0" w:space="0" w:color="auto"/>
        <w:right w:val="none" w:sz="0" w:space="0" w:color="auto"/>
      </w:divBdr>
    </w:div>
    <w:div w:id="1211958391">
      <w:bodyDiv w:val="1"/>
      <w:marLeft w:val="0"/>
      <w:marRight w:val="0"/>
      <w:marTop w:val="0"/>
      <w:marBottom w:val="0"/>
      <w:divBdr>
        <w:top w:val="none" w:sz="0" w:space="0" w:color="auto"/>
        <w:left w:val="none" w:sz="0" w:space="0" w:color="auto"/>
        <w:bottom w:val="none" w:sz="0" w:space="0" w:color="auto"/>
        <w:right w:val="none" w:sz="0" w:space="0" w:color="auto"/>
      </w:divBdr>
    </w:div>
    <w:div w:id="1218474317">
      <w:bodyDiv w:val="1"/>
      <w:marLeft w:val="0"/>
      <w:marRight w:val="0"/>
      <w:marTop w:val="0"/>
      <w:marBottom w:val="0"/>
      <w:divBdr>
        <w:top w:val="none" w:sz="0" w:space="0" w:color="auto"/>
        <w:left w:val="none" w:sz="0" w:space="0" w:color="auto"/>
        <w:bottom w:val="none" w:sz="0" w:space="0" w:color="auto"/>
        <w:right w:val="none" w:sz="0" w:space="0" w:color="auto"/>
      </w:divBdr>
    </w:div>
    <w:div w:id="1226642649">
      <w:bodyDiv w:val="1"/>
      <w:marLeft w:val="0"/>
      <w:marRight w:val="0"/>
      <w:marTop w:val="0"/>
      <w:marBottom w:val="0"/>
      <w:divBdr>
        <w:top w:val="none" w:sz="0" w:space="0" w:color="auto"/>
        <w:left w:val="none" w:sz="0" w:space="0" w:color="auto"/>
        <w:bottom w:val="none" w:sz="0" w:space="0" w:color="auto"/>
        <w:right w:val="none" w:sz="0" w:space="0" w:color="auto"/>
      </w:divBdr>
    </w:div>
    <w:div w:id="1236281291">
      <w:bodyDiv w:val="1"/>
      <w:marLeft w:val="0"/>
      <w:marRight w:val="0"/>
      <w:marTop w:val="0"/>
      <w:marBottom w:val="0"/>
      <w:divBdr>
        <w:top w:val="none" w:sz="0" w:space="0" w:color="auto"/>
        <w:left w:val="none" w:sz="0" w:space="0" w:color="auto"/>
        <w:bottom w:val="none" w:sz="0" w:space="0" w:color="auto"/>
        <w:right w:val="none" w:sz="0" w:space="0" w:color="auto"/>
      </w:divBdr>
    </w:div>
    <w:div w:id="1247616510">
      <w:bodyDiv w:val="1"/>
      <w:marLeft w:val="0"/>
      <w:marRight w:val="0"/>
      <w:marTop w:val="0"/>
      <w:marBottom w:val="0"/>
      <w:divBdr>
        <w:top w:val="none" w:sz="0" w:space="0" w:color="auto"/>
        <w:left w:val="none" w:sz="0" w:space="0" w:color="auto"/>
        <w:bottom w:val="none" w:sz="0" w:space="0" w:color="auto"/>
        <w:right w:val="none" w:sz="0" w:space="0" w:color="auto"/>
      </w:divBdr>
    </w:div>
    <w:div w:id="1253972323">
      <w:bodyDiv w:val="1"/>
      <w:marLeft w:val="0"/>
      <w:marRight w:val="0"/>
      <w:marTop w:val="0"/>
      <w:marBottom w:val="0"/>
      <w:divBdr>
        <w:top w:val="none" w:sz="0" w:space="0" w:color="auto"/>
        <w:left w:val="none" w:sz="0" w:space="0" w:color="auto"/>
        <w:bottom w:val="none" w:sz="0" w:space="0" w:color="auto"/>
        <w:right w:val="none" w:sz="0" w:space="0" w:color="auto"/>
      </w:divBdr>
    </w:div>
    <w:div w:id="1254778006">
      <w:bodyDiv w:val="1"/>
      <w:marLeft w:val="0"/>
      <w:marRight w:val="0"/>
      <w:marTop w:val="0"/>
      <w:marBottom w:val="0"/>
      <w:divBdr>
        <w:top w:val="none" w:sz="0" w:space="0" w:color="auto"/>
        <w:left w:val="none" w:sz="0" w:space="0" w:color="auto"/>
        <w:bottom w:val="none" w:sz="0" w:space="0" w:color="auto"/>
        <w:right w:val="none" w:sz="0" w:space="0" w:color="auto"/>
      </w:divBdr>
    </w:div>
    <w:div w:id="1255894825">
      <w:bodyDiv w:val="1"/>
      <w:marLeft w:val="0"/>
      <w:marRight w:val="0"/>
      <w:marTop w:val="0"/>
      <w:marBottom w:val="0"/>
      <w:divBdr>
        <w:top w:val="none" w:sz="0" w:space="0" w:color="auto"/>
        <w:left w:val="none" w:sz="0" w:space="0" w:color="auto"/>
        <w:bottom w:val="none" w:sz="0" w:space="0" w:color="auto"/>
        <w:right w:val="none" w:sz="0" w:space="0" w:color="auto"/>
      </w:divBdr>
    </w:div>
    <w:div w:id="1258513417">
      <w:bodyDiv w:val="1"/>
      <w:marLeft w:val="0"/>
      <w:marRight w:val="0"/>
      <w:marTop w:val="0"/>
      <w:marBottom w:val="0"/>
      <w:divBdr>
        <w:top w:val="none" w:sz="0" w:space="0" w:color="auto"/>
        <w:left w:val="none" w:sz="0" w:space="0" w:color="auto"/>
        <w:bottom w:val="none" w:sz="0" w:space="0" w:color="auto"/>
        <w:right w:val="none" w:sz="0" w:space="0" w:color="auto"/>
      </w:divBdr>
      <w:divsChild>
        <w:div w:id="1821919743">
          <w:marLeft w:val="0"/>
          <w:marRight w:val="0"/>
          <w:marTop w:val="0"/>
          <w:marBottom w:val="0"/>
          <w:divBdr>
            <w:top w:val="none" w:sz="0" w:space="0" w:color="auto"/>
            <w:left w:val="none" w:sz="0" w:space="0" w:color="auto"/>
            <w:bottom w:val="none" w:sz="0" w:space="0" w:color="auto"/>
            <w:right w:val="none" w:sz="0" w:space="0" w:color="auto"/>
          </w:divBdr>
          <w:divsChild>
            <w:div w:id="279261841">
              <w:marLeft w:val="72"/>
              <w:marRight w:val="72"/>
              <w:marTop w:val="0"/>
              <w:marBottom w:val="0"/>
              <w:divBdr>
                <w:top w:val="none" w:sz="0" w:space="0" w:color="auto"/>
                <w:left w:val="none" w:sz="0" w:space="0" w:color="auto"/>
                <w:bottom w:val="none" w:sz="0" w:space="0" w:color="auto"/>
                <w:right w:val="none" w:sz="0" w:space="0" w:color="auto"/>
              </w:divBdr>
              <w:divsChild>
                <w:div w:id="365373156">
                  <w:marLeft w:val="72"/>
                  <w:marRight w:val="72"/>
                  <w:marTop w:val="0"/>
                  <w:marBottom w:val="0"/>
                  <w:divBdr>
                    <w:top w:val="none" w:sz="0" w:space="0" w:color="auto"/>
                    <w:left w:val="none" w:sz="0" w:space="0" w:color="auto"/>
                    <w:bottom w:val="none" w:sz="0" w:space="0" w:color="auto"/>
                    <w:right w:val="none" w:sz="0" w:space="0" w:color="auto"/>
                  </w:divBdr>
                  <w:divsChild>
                    <w:div w:id="48266316">
                      <w:marLeft w:val="72"/>
                      <w:marRight w:val="72"/>
                      <w:marTop w:val="0"/>
                      <w:marBottom w:val="0"/>
                      <w:divBdr>
                        <w:top w:val="none" w:sz="0" w:space="0" w:color="auto"/>
                        <w:left w:val="none" w:sz="0" w:space="0" w:color="auto"/>
                        <w:bottom w:val="none" w:sz="0" w:space="0" w:color="auto"/>
                        <w:right w:val="none" w:sz="0" w:space="0" w:color="auto"/>
                      </w:divBdr>
                      <w:divsChild>
                        <w:div w:id="854610643">
                          <w:marLeft w:val="72"/>
                          <w:marRight w:val="72"/>
                          <w:marTop w:val="0"/>
                          <w:marBottom w:val="0"/>
                          <w:divBdr>
                            <w:top w:val="none" w:sz="0" w:space="0" w:color="auto"/>
                            <w:left w:val="none" w:sz="0" w:space="0" w:color="auto"/>
                            <w:bottom w:val="none" w:sz="0" w:space="0" w:color="auto"/>
                            <w:right w:val="none" w:sz="0" w:space="0" w:color="auto"/>
                          </w:divBdr>
                          <w:divsChild>
                            <w:div w:id="563568688">
                              <w:marLeft w:val="0"/>
                              <w:marRight w:val="0"/>
                              <w:marTop w:val="0"/>
                              <w:marBottom w:val="0"/>
                              <w:divBdr>
                                <w:top w:val="none" w:sz="0" w:space="0" w:color="auto"/>
                                <w:left w:val="none" w:sz="0" w:space="0" w:color="auto"/>
                                <w:bottom w:val="none" w:sz="0" w:space="0" w:color="auto"/>
                                <w:right w:val="none" w:sz="0" w:space="0" w:color="auto"/>
                              </w:divBdr>
                              <w:divsChild>
                                <w:div w:id="9150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835699">
      <w:bodyDiv w:val="1"/>
      <w:marLeft w:val="0"/>
      <w:marRight w:val="0"/>
      <w:marTop w:val="0"/>
      <w:marBottom w:val="0"/>
      <w:divBdr>
        <w:top w:val="none" w:sz="0" w:space="0" w:color="auto"/>
        <w:left w:val="none" w:sz="0" w:space="0" w:color="auto"/>
        <w:bottom w:val="none" w:sz="0" w:space="0" w:color="auto"/>
        <w:right w:val="none" w:sz="0" w:space="0" w:color="auto"/>
      </w:divBdr>
    </w:div>
    <w:div w:id="1264193070">
      <w:bodyDiv w:val="1"/>
      <w:marLeft w:val="0"/>
      <w:marRight w:val="0"/>
      <w:marTop w:val="0"/>
      <w:marBottom w:val="0"/>
      <w:divBdr>
        <w:top w:val="none" w:sz="0" w:space="0" w:color="auto"/>
        <w:left w:val="none" w:sz="0" w:space="0" w:color="auto"/>
        <w:bottom w:val="none" w:sz="0" w:space="0" w:color="auto"/>
        <w:right w:val="none" w:sz="0" w:space="0" w:color="auto"/>
      </w:divBdr>
    </w:div>
    <w:div w:id="1264613411">
      <w:bodyDiv w:val="1"/>
      <w:marLeft w:val="0"/>
      <w:marRight w:val="0"/>
      <w:marTop w:val="0"/>
      <w:marBottom w:val="0"/>
      <w:divBdr>
        <w:top w:val="none" w:sz="0" w:space="0" w:color="auto"/>
        <w:left w:val="none" w:sz="0" w:space="0" w:color="auto"/>
        <w:bottom w:val="none" w:sz="0" w:space="0" w:color="auto"/>
        <w:right w:val="none" w:sz="0" w:space="0" w:color="auto"/>
      </w:divBdr>
    </w:div>
    <w:div w:id="1287275400">
      <w:bodyDiv w:val="1"/>
      <w:marLeft w:val="0"/>
      <w:marRight w:val="0"/>
      <w:marTop w:val="0"/>
      <w:marBottom w:val="0"/>
      <w:divBdr>
        <w:top w:val="none" w:sz="0" w:space="0" w:color="auto"/>
        <w:left w:val="none" w:sz="0" w:space="0" w:color="auto"/>
        <w:bottom w:val="none" w:sz="0" w:space="0" w:color="auto"/>
        <w:right w:val="none" w:sz="0" w:space="0" w:color="auto"/>
      </w:divBdr>
    </w:div>
    <w:div w:id="1291009597">
      <w:bodyDiv w:val="1"/>
      <w:marLeft w:val="0"/>
      <w:marRight w:val="0"/>
      <w:marTop w:val="0"/>
      <w:marBottom w:val="0"/>
      <w:divBdr>
        <w:top w:val="none" w:sz="0" w:space="0" w:color="auto"/>
        <w:left w:val="none" w:sz="0" w:space="0" w:color="auto"/>
        <w:bottom w:val="none" w:sz="0" w:space="0" w:color="auto"/>
        <w:right w:val="none" w:sz="0" w:space="0" w:color="auto"/>
      </w:divBdr>
    </w:div>
    <w:div w:id="1291781452">
      <w:bodyDiv w:val="1"/>
      <w:marLeft w:val="0"/>
      <w:marRight w:val="0"/>
      <w:marTop w:val="0"/>
      <w:marBottom w:val="0"/>
      <w:divBdr>
        <w:top w:val="none" w:sz="0" w:space="0" w:color="auto"/>
        <w:left w:val="none" w:sz="0" w:space="0" w:color="auto"/>
        <w:bottom w:val="none" w:sz="0" w:space="0" w:color="auto"/>
        <w:right w:val="none" w:sz="0" w:space="0" w:color="auto"/>
      </w:divBdr>
    </w:div>
    <w:div w:id="1291787447">
      <w:bodyDiv w:val="1"/>
      <w:marLeft w:val="0"/>
      <w:marRight w:val="0"/>
      <w:marTop w:val="0"/>
      <w:marBottom w:val="0"/>
      <w:divBdr>
        <w:top w:val="none" w:sz="0" w:space="0" w:color="auto"/>
        <w:left w:val="none" w:sz="0" w:space="0" w:color="auto"/>
        <w:bottom w:val="none" w:sz="0" w:space="0" w:color="auto"/>
        <w:right w:val="none" w:sz="0" w:space="0" w:color="auto"/>
      </w:divBdr>
    </w:div>
    <w:div w:id="1296250453">
      <w:bodyDiv w:val="1"/>
      <w:marLeft w:val="0"/>
      <w:marRight w:val="0"/>
      <w:marTop w:val="0"/>
      <w:marBottom w:val="0"/>
      <w:divBdr>
        <w:top w:val="none" w:sz="0" w:space="0" w:color="auto"/>
        <w:left w:val="none" w:sz="0" w:space="0" w:color="auto"/>
        <w:bottom w:val="none" w:sz="0" w:space="0" w:color="auto"/>
        <w:right w:val="none" w:sz="0" w:space="0" w:color="auto"/>
      </w:divBdr>
    </w:div>
    <w:div w:id="1302729736">
      <w:bodyDiv w:val="1"/>
      <w:marLeft w:val="0"/>
      <w:marRight w:val="0"/>
      <w:marTop w:val="0"/>
      <w:marBottom w:val="0"/>
      <w:divBdr>
        <w:top w:val="none" w:sz="0" w:space="0" w:color="auto"/>
        <w:left w:val="none" w:sz="0" w:space="0" w:color="auto"/>
        <w:bottom w:val="none" w:sz="0" w:space="0" w:color="auto"/>
        <w:right w:val="none" w:sz="0" w:space="0" w:color="auto"/>
      </w:divBdr>
    </w:div>
    <w:div w:id="1303465015">
      <w:bodyDiv w:val="1"/>
      <w:marLeft w:val="0"/>
      <w:marRight w:val="0"/>
      <w:marTop w:val="0"/>
      <w:marBottom w:val="0"/>
      <w:divBdr>
        <w:top w:val="none" w:sz="0" w:space="0" w:color="auto"/>
        <w:left w:val="none" w:sz="0" w:space="0" w:color="auto"/>
        <w:bottom w:val="none" w:sz="0" w:space="0" w:color="auto"/>
        <w:right w:val="none" w:sz="0" w:space="0" w:color="auto"/>
      </w:divBdr>
    </w:div>
    <w:div w:id="1312253168">
      <w:bodyDiv w:val="1"/>
      <w:marLeft w:val="0"/>
      <w:marRight w:val="0"/>
      <w:marTop w:val="0"/>
      <w:marBottom w:val="0"/>
      <w:divBdr>
        <w:top w:val="none" w:sz="0" w:space="0" w:color="auto"/>
        <w:left w:val="none" w:sz="0" w:space="0" w:color="auto"/>
        <w:bottom w:val="none" w:sz="0" w:space="0" w:color="auto"/>
        <w:right w:val="none" w:sz="0" w:space="0" w:color="auto"/>
      </w:divBdr>
      <w:divsChild>
        <w:div w:id="1852717589">
          <w:marLeft w:val="0"/>
          <w:marRight w:val="0"/>
          <w:marTop w:val="0"/>
          <w:marBottom w:val="0"/>
          <w:divBdr>
            <w:top w:val="none" w:sz="0" w:space="0" w:color="auto"/>
            <w:left w:val="none" w:sz="0" w:space="0" w:color="auto"/>
            <w:bottom w:val="none" w:sz="0" w:space="0" w:color="auto"/>
            <w:right w:val="none" w:sz="0" w:space="0" w:color="auto"/>
          </w:divBdr>
          <w:divsChild>
            <w:div w:id="607394000">
              <w:marLeft w:val="0"/>
              <w:marRight w:val="0"/>
              <w:marTop w:val="0"/>
              <w:marBottom w:val="0"/>
              <w:divBdr>
                <w:top w:val="none" w:sz="0" w:space="0" w:color="auto"/>
                <w:left w:val="none" w:sz="0" w:space="0" w:color="auto"/>
                <w:bottom w:val="none" w:sz="0" w:space="0" w:color="auto"/>
                <w:right w:val="none" w:sz="0" w:space="0" w:color="auto"/>
              </w:divBdr>
              <w:divsChild>
                <w:div w:id="818423585">
                  <w:marLeft w:val="0"/>
                  <w:marRight w:val="0"/>
                  <w:marTop w:val="0"/>
                  <w:marBottom w:val="0"/>
                  <w:divBdr>
                    <w:top w:val="none" w:sz="0" w:space="0" w:color="auto"/>
                    <w:left w:val="none" w:sz="0" w:space="0" w:color="auto"/>
                    <w:bottom w:val="none" w:sz="0" w:space="0" w:color="auto"/>
                    <w:right w:val="none" w:sz="0" w:space="0" w:color="auto"/>
                  </w:divBdr>
                  <w:divsChild>
                    <w:div w:id="19022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19300">
      <w:bodyDiv w:val="1"/>
      <w:marLeft w:val="0"/>
      <w:marRight w:val="0"/>
      <w:marTop w:val="0"/>
      <w:marBottom w:val="0"/>
      <w:divBdr>
        <w:top w:val="none" w:sz="0" w:space="0" w:color="auto"/>
        <w:left w:val="none" w:sz="0" w:space="0" w:color="auto"/>
        <w:bottom w:val="none" w:sz="0" w:space="0" w:color="auto"/>
        <w:right w:val="none" w:sz="0" w:space="0" w:color="auto"/>
      </w:divBdr>
    </w:div>
    <w:div w:id="1321926955">
      <w:bodyDiv w:val="1"/>
      <w:marLeft w:val="0"/>
      <w:marRight w:val="0"/>
      <w:marTop w:val="0"/>
      <w:marBottom w:val="0"/>
      <w:divBdr>
        <w:top w:val="none" w:sz="0" w:space="0" w:color="auto"/>
        <w:left w:val="none" w:sz="0" w:space="0" w:color="auto"/>
        <w:bottom w:val="none" w:sz="0" w:space="0" w:color="auto"/>
        <w:right w:val="none" w:sz="0" w:space="0" w:color="auto"/>
      </w:divBdr>
    </w:div>
    <w:div w:id="1323268263">
      <w:bodyDiv w:val="1"/>
      <w:marLeft w:val="0"/>
      <w:marRight w:val="0"/>
      <w:marTop w:val="0"/>
      <w:marBottom w:val="0"/>
      <w:divBdr>
        <w:top w:val="none" w:sz="0" w:space="0" w:color="auto"/>
        <w:left w:val="none" w:sz="0" w:space="0" w:color="auto"/>
        <w:bottom w:val="none" w:sz="0" w:space="0" w:color="auto"/>
        <w:right w:val="none" w:sz="0" w:space="0" w:color="auto"/>
      </w:divBdr>
    </w:div>
    <w:div w:id="1329405439">
      <w:bodyDiv w:val="1"/>
      <w:marLeft w:val="0"/>
      <w:marRight w:val="0"/>
      <w:marTop w:val="0"/>
      <w:marBottom w:val="0"/>
      <w:divBdr>
        <w:top w:val="none" w:sz="0" w:space="0" w:color="auto"/>
        <w:left w:val="none" w:sz="0" w:space="0" w:color="auto"/>
        <w:bottom w:val="none" w:sz="0" w:space="0" w:color="auto"/>
        <w:right w:val="none" w:sz="0" w:space="0" w:color="auto"/>
      </w:divBdr>
    </w:div>
    <w:div w:id="1332101806">
      <w:bodyDiv w:val="1"/>
      <w:marLeft w:val="0"/>
      <w:marRight w:val="0"/>
      <w:marTop w:val="0"/>
      <w:marBottom w:val="0"/>
      <w:divBdr>
        <w:top w:val="none" w:sz="0" w:space="0" w:color="auto"/>
        <w:left w:val="none" w:sz="0" w:space="0" w:color="auto"/>
        <w:bottom w:val="none" w:sz="0" w:space="0" w:color="auto"/>
        <w:right w:val="none" w:sz="0" w:space="0" w:color="auto"/>
      </w:divBdr>
    </w:div>
    <w:div w:id="1333677520">
      <w:bodyDiv w:val="1"/>
      <w:marLeft w:val="0"/>
      <w:marRight w:val="0"/>
      <w:marTop w:val="0"/>
      <w:marBottom w:val="0"/>
      <w:divBdr>
        <w:top w:val="none" w:sz="0" w:space="0" w:color="auto"/>
        <w:left w:val="none" w:sz="0" w:space="0" w:color="auto"/>
        <w:bottom w:val="none" w:sz="0" w:space="0" w:color="auto"/>
        <w:right w:val="none" w:sz="0" w:space="0" w:color="auto"/>
      </w:divBdr>
    </w:div>
    <w:div w:id="1336615972">
      <w:bodyDiv w:val="1"/>
      <w:marLeft w:val="0"/>
      <w:marRight w:val="0"/>
      <w:marTop w:val="0"/>
      <w:marBottom w:val="0"/>
      <w:divBdr>
        <w:top w:val="none" w:sz="0" w:space="0" w:color="auto"/>
        <w:left w:val="none" w:sz="0" w:space="0" w:color="auto"/>
        <w:bottom w:val="none" w:sz="0" w:space="0" w:color="auto"/>
        <w:right w:val="none" w:sz="0" w:space="0" w:color="auto"/>
      </w:divBdr>
    </w:div>
    <w:div w:id="1338116792">
      <w:bodyDiv w:val="1"/>
      <w:marLeft w:val="0"/>
      <w:marRight w:val="0"/>
      <w:marTop w:val="0"/>
      <w:marBottom w:val="0"/>
      <w:divBdr>
        <w:top w:val="none" w:sz="0" w:space="0" w:color="auto"/>
        <w:left w:val="none" w:sz="0" w:space="0" w:color="auto"/>
        <w:bottom w:val="none" w:sz="0" w:space="0" w:color="auto"/>
        <w:right w:val="none" w:sz="0" w:space="0" w:color="auto"/>
      </w:divBdr>
    </w:div>
    <w:div w:id="1356342883">
      <w:bodyDiv w:val="1"/>
      <w:marLeft w:val="0"/>
      <w:marRight w:val="0"/>
      <w:marTop w:val="0"/>
      <w:marBottom w:val="0"/>
      <w:divBdr>
        <w:top w:val="none" w:sz="0" w:space="0" w:color="auto"/>
        <w:left w:val="none" w:sz="0" w:space="0" w:color="auto"/>
        <w:bottom w:val="none" w:sz="0" w:space="0" w:color="auto"/>
        <w:right w:val="none" w:sz="0" w:space="0" w:color="auto"/>
      </w:divBdr>
    </w:div>
    <w:div w:id="1358777577">
      <w:bodyDiv w:val="1"/>
      <w:marLeft w:val="0"/>
      <w:marRight w:val="0"/>
      <w:marTop w:val="0"/>
      <w:marBottom w:val="0"/>
      <w:divBdr>
        <w:top w:val="none" w:sz="0" w:space="0" w:color="auto"/>
        <w:left w:val="none" w:sz="0" w:space="0" w:color="auto"/>
        <w:bottom w:val="none" w:sz="0" w:space="0" w:color="auto"/>
        <w:right w:val="none" w:sz="0" w:space="0" w:color="auto"/>
      </w:divBdr>
    </w:div>
    <w:div w:id="1360667659">
      <w:bodyDiv w:val="1"/>
      <w:marLeft w:val="0"/>
      <w:marRight w:val="0"/>
      <w:marTop w:val="0"/>
      <w:marBottom w:val="0"/>
      <w:divBdr>
        <w:top w:val="none" w:sz="0" w:space="0" w:color="auto"/>
        <w:left w:val="none" w:sz="0" w:space="0" w:color="auto"/>
        <w:bottom w:val="none" w:sz="0" w:space="0" w:color="auto"/>
        <w:right w:val="none" w:sz="0" w:space="0" w:color="auto"/>
      </w:divBdr>
    </w:div>
    <w:div w:id="1361004404">
      <w:bodyDiv w:val="1"/>
      <w:marLeft w:val="0"/>
      <w:marRight w:val="0"/>
      <w:marTop w:val="0"/>
      <w:marBottom w:val="0"/>
      <w:divBdr>
        <w:top w:val="none" w:sz="0" w:space="0" w:color="auto"/>
        <w:left w:val="none" w:sz="0" w:space="0" w:color="auto"/>
        <w:bottom w:val="none" w:sz="0" w:space="0" w:color="auto"/>
        <w:right w:val="none" w:sz="0" w:space="0" w:color="auto"/>
      </w:divBdr>
    </w:div>
    <w:div w:id="1361735557">
      <w:bodyDiv w:val="1"/>
      <w:marLeft w:val="0"/>
      <w:marRight w:val="0"/>
      <w:marTop w:val="0"/>
      <w:marBottom w:val="0"/>
      <w:divBdr>
        <w:top w:val="none" w:sz="0" w:space="0" w:color="auto"/>
        <w:left w:val="none" w:sz="0" w:space="0" w:color="auto"/>
        <w:bottom w:val="none" w:sz="0" w:space="0" w:color="auto"/>
        <w:right w:val="none" w:sz="0" w:space="0" w:color="auto"/>
      </w:divBdr>
    </w:div>
    <w:div w:id="1367022599">
      <w:bodyDiv w:val="1"/>
      <w:marLeft w:val="0"/>
      <w:marRight w:val="0"/>
      <w:marTop w:val="0"/>
      <w:marBottom w:val="0"/>
      <w:divBdr>
        <w:top w:val="none" w:sz="0" w:space="0" w:color="auto"/>
        <w:left w:val="none" w:sz="0" w:space="0" w:color="auto"/>
        <w:bottom w:val="none" w:sz="0" w:space="0" w:color="auto"/>
        <w:right w:val="none" w:sz="0" w:space="0" w:color="auto"/>
      </w:divBdr>
    </w:div>
    <w:div w:id="1370253204">
      <w:bodyDiv w:val="1"/>
      <w:marLeft w:val="0"/>
      <w:marRight w:val="0"/>
      <w:marTop w:val="0"/>
      <w:marBottom w:val="0"/>
      <w:divBdr>
        <w:top w:val="none" w:sz="0" w:space="0" w:color="auto"/>
        <w:left w:val="none" w:sz="0" w:space="0" w:color="auto"/>
        <w:bottom w:val="none" w:sz="0" w:space="0" w:color="auto"/>
        <w:right w:val="none" w:sz="0" w:space="0" w:color="auto"/>
      </w:divBdr>
      <w:divsChild>
        <w:div w:id="1161458581">
          <w:marLeft w:val="0"/>
          <w:marRight w:val="0"/>
          <w:marTop w:val="0"/>
          <w:marBottom w:val="0"/>
          <w:divBdr>
            <w:top w:val="none" w:sz="0" w:space="0" w:color="auto"/>
            <w:left w:val="none" w:sz="0" w:space="0" w:color="auto"/>
            <w:bottom w:val="none" w:sz="0" w:space="0" w:color="auto"/>
            <w:right w:val="none" w:sz="0" w:space="0" w:color="auto"/>
          </w:divBdr>
          <w:divsChild>
            <w:div w:id="1727601975">
              <w:marLeft w:val="0"/>
              <w:marRight w:val="0"/>
              <w:marTop w:val="0"/>
              <w:marBottom w:val="0"/>
              <w:divBdr>
                <w:top w:val="none" w:sz="0" w:space="0" w:color="auto"/>
                <w:left w:val="none" w:sz="0" w:space="0" w:color="auto"/>
                <w:bottom w:val="none" w:sz="0" w:space="0" w:color="auto"/>
                <w:right w:val="none" w:sz="0" w:space="0" w:color="auto"/>
              </w:divBdr>
              <w:divsChild>
                <w:div w:id="618949282">
                  <w:marLeft w:val="0"/>
                  <w:marRight w:val="0"/>
                  <w:marTop w:val="0"/>
                  <w:marBottom w:val="0"/>
                  <w:divBdr>
                    <w:top w:val="none" w:sz="0" w:space="0" w:color="auto"/>
                    <w:left w:val="none" w:sz="0" w:space="0" w:color="auto"/>
                    <w:bottom w:val="none" w:sz="0" w:space="0" w:color="auto"/>
                    <w:right w:val="none" w:sz="0" w:space="0" w:color="auto"/>
                  </w:divBdr>
                  <w:divsChild>
                    <w:div w:id="3362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4080">
      <w:bodyDiv w:val="1"/>
      <w:marLeft w:val="0"/>
      <w:marRight w:val="0"/>
      <w:marTop w:val="0"/>
      <w:marBottom w:val="0"/>
      <w:divBdr>
        <w:top w:val="none" w:sz="0" w:space="0" w:color="auto"/>
        <w:left w:val="none" w:sz="0" w:space="0" w:color="auto"/>
        <w:bottom w:val="none" w:sz="0" w:space="0" w:color="auto"/>
        <w:right w:val="none" w:sz="0" w:space="0" w:color="auto"/>
      </w:divBdr>
    </w:div>
    <w:div w:id="1372994645">
      <w:bodyDiv w:val="1"/>
      <w:marLeft w:val="0"/>
      <w:marRight w:val="0"/>
      <w:marTop w:val="0"/>
      <w:marBottom w:val="0"/>
      <w:divBdr>
        <w:top w:val="none" w:sz="0" w:space="0" w:color="auto"/>
        <w:left w:val="none" w:sz="0" w:space="0" w:color="auto"/>
        <w:bottom w:val="none" w:sz="0" w:space="0" w:color="auto"/>
        <w:right w:val="none" w:sz="0" w:space="0" w:color="auto"/>
      </w:divBdr>
      <w:divsChild>
        <w:div w:id="1743797758">
          <w:marLeft w:val="0"/>
          <w:marRight w:val="0"/>
          <w:marTop w:val="0"/>
          <w:marBottom w:val="0"/>
          <w:divBdr>
            <w:top w:val="none" w:sz="0" w:space="0" w:color="auto"/>
            <w:left w:val="none" w:sz="0" w:space="0" w:color="auto"/>
            <w:bottom w:val="none" w:sz="0" w:space="0" w:color="auto"/>
            <w:right w:val="none" w:sz="0" w:space="0" w:color="auto"/>
          </w:divBdr>
          <w:divsChild>
            <w:div w:id="1732852469">
              <w:marLeft w:val="0"/>
              <w:marRight w:val="0"/>
              <w:marTop w:val="0"/>
              <w:marBottom w:val="0"/>
              <w:divBdr>
                <w:top w:val="none" w:sz="0" w:space="0" w:color="auto"/>
                <w:left w:val="none" w:sz="0" w:space="0" w:color="auto"/>
                <w:bottom w:val="none" w:sz="0" w:space="0" w:color="auto"/>
                <w:right w:val="none" w:sz="0" w:space="0" w:color="auto"/>
              </w:divBdr>
              <w:divsChild>
                <w:div w:id="55712726">
                  <w:marLeft w:val="0"/>
                  <w:marRight w:val="0"/>
                  <w:marTop w:val="0"/>
                  <w:marBottom w:val="0"/>
                  <w:divBdr>
                    <w:top w:val="none" w:sz="0" w:space="0" w:color="auto"/>
                    <w:left w:val="none" w:sz="0" w:space="0" w:color="auto"/>
                    <w:bottom w:val="none" w:sz="0" w:space="0" w:color="auto"/>
                    <w:right w:val="none" w:sz="0" w:space="0" w:color="auto"/>
                  </w:divBdr>
                  <w:divsChild>
                    <w:div w:id="270209519">
                      <w:marLeft w:val="0"/>
                      <w:marRight w:val="0"/>
                      <w:marTop w:val="0"/>
                      <w:marBottom w:val="0"/>
                      <w:divBdr>
                        <w:top w:val="dotted" w:sz="2" w:space="0" w:color="CCCCCC"/>
                        <w:left w:val="dotted" w:sz="2" w:space="0" w:color="CCCCCC"/>
                        <w:bottom w:val="dotted" w:sz="2" w:space="0" w:color="CCCCCC"/>
                        <w:right w:val="dotted" w:sz="2" w:space="0" w:color="CCCCCC"/>
                      </w:divBdr>
                      <w:divsChild>
                        <w:div w:id="780150860">
                          <w:marLeft w:val="0"/>
                          <w:marRight w:val="0"/>
                          <w:marTop w:val="0"/>
                          <w:marBottom w:val="207"/>
                          <w:divBdr>
                            <w:top w:val="single" w:sz="4" w:space="5" w:color="EEE3C0"/>
                            <w:left w:val="single" w:sz="4" w:space="5" w:color="EEE3C0"/>
                            <w:bottom w:val="single" w:sz="4" w:space="5" w:color="EEE3C0"/>
                            <w:right w:val="single" w:sz="4" w:space="5" w:color="EEE3C0"/>
                          </w:divBdr>
                          <w:divsChild>
                            <w:div w:id="600646943">
                              <w:marLeft w:val="0"/>
                              <w:marRight w:val="0"/>
                              <w:marTop w:val="0"/>
                              <w:marBottom w:val="0"/>
                              <w:divBdr>
                                <w:top w:val="none" w:sz="0" w:space="0" w:color="auto"/>
                                <w:left w:val="none" w:sz="0" w:space="0" w:color="auto"/>
                                <w:bottom w:val="none" w:sz="0" w:space="0" w:color="auto"/>
                                <w:right w:val="none" w:sz="0" w:space="0" w:color="auto"/>
                              </w:divBdr>
                              <w:divsChild>
                                <w:div w:id="1840996239">
                                  <w:marLeft w:val="0"/>
                                  <w:marRight w:val="0"/>
                                  <w:marTop w:val="0"/>
                                  <w:marBottom w:val="0"/>
                                  <w:divBdr>
                                    <w:top w:val="none" w:sz="0" w:space="0" w:color="auto"/>
                                    <w:left w:val="none" w:sz="0" w:space="0" w:color="auto"/>
                                    <w:bottom w:val="none" w:sz="0" w:space="0" w:color="auto"/>
                                    <w:right w:val="none" w:sz="0" w:space="0" w:color="auto"/>
                                  </w:divBdr>
                                  <w:divsChild>
                                    <w:div w:id="2148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018641">
      <w:bodyDiv w:val="1"/>
      <w:marLeft w:val="0"/>
      <w:marRight w:val="0"/>
      <w:marTop w:val="0"/>
      <w:marBottom w:val="0"/>
      <w:divBdr>
        <w:top w:val="none" w:sz="0" w:space="0" w:color="auto"/>
        <w:left w:val="none" w:sz="0" w:space="0" w:color="auto"/>
        <w:bottom w:val="none" w:sz="0" w:space="0" w:color="auto"/>
        <w:right w:val="none" w:sz="0" w:space="0" w:color="auto"/>
      </w:divBdr>
    </w:div>
    <w:div w:id="1390766122">
      <w:bodyDiv w:val="1"/>
      <w:marLeft w:val="0"/>
      <w:marRight w:val="0"/>
      <w:marTop w:val="0"/>
      <w:marBottom w:val="0"/>
      <w:divBdr>
        <w:top w:val="none" w:sz="0" w:space="0" w:color="auto"/>
        <w:left w:val="none" w:sz="0" w:space="0" w:color="auto"/>
        <w:bottom w:val="none" w:sz="0" w:space="0" w:color="auto"/>
        <w:right w:val="none" w:sz="0" w:space="0" w:color="auto"/>
      </w:divBdr>
    </w:div>
    <w:div w:id="1391734352">
      <w:bodyDiv w:val="1"/>
      <w:marLeft w:val="0"/>
      <w:marRight w:val="0"/>
      <w:marTop w:val="0"/>
      <w:marBottom w:val="0"/>
      <w:divBdr>
        <w:top w:val="none" w:sz="0" w:space="0" w:color="auto"/>
        <w:left w:val="none" w:sz="0" w:space="0" w:color="auto"/>
        <w:bottom w:val="none" w:sz="0" w:space="0" w:color="auto"/>
        <w:right w:val="none" w:sz="0" w:space="0" w:color="auto"/>
      </w:divBdr>
    </w:div>
    <w:div w:id="1394498149">
      <w:bodyDiv w:val="1"/>
      <w:marLeft w:val="0"/>
      <w:marRight w:val="0"/>
      <w:marTop w:val="0"/>
      <w:marBottom w:val="0"/>
      <w:divBdr>
        <w:top w:val="none" w:sz="0" w:space="0" w:color="auto"/>
        <w:left w:val="none" w:sz="0" w:space="0" w:color="auto"/>
        <w:bottom w:val="none" w:sz="0" w:space="0" w:color="auto"/>
        <w:right w:val="none" w:sz="0" w:space="0" w:color="auto"/>
      </w:divBdr>
    </w:div>
    <w:div w:id="1395201078">
      <w:bodyDiv w:val="1"/>
      <w:marLeft w:val="0"/>
      <w:marRight w:val="0"/>
      <w:marTop w:val="0"/>
      <w:marBottom w:val="0"/>
      <w:divBdr>
        <w:top w:val="none" w:sz="0" w:space="0" w:color="auto"/>
        <w:left w:val="none" w:sz="0" w:space="0" w:color="auto"/>
        <w:bottom w:val="none" w:sz="0" w:space="0" w:color="auto"/>
        <w:right w:val="none" w:sz="0" w:space="0" w:color="auto"/>
      </w:divBdr>
    </w:div>
    <w:div w:id="1396079670">
      <w:bodyDiv w:val="1"/>
      <w:marLeft w:val="0"/>
      <w:marRight w:val="0"/>
      <w:marTop w:val="0"/>
      <w:marBottom w:val="0"/>
      <w:divBdr>
        <w:top w:val="none" w:sz="0" w:space="0" w:color="auto"/>
        <w:left w:val="none" w:sz="0" w:space="0" w:color="auto"/>
        <w:bottom w:val="none" w:sz="0" w:space="0" w:color="auto"/>
        <w:right w:val="none" w:sz="0" w:space="0" w:color="auto"/>
      </w:divBdr>
    </w:div>
    <w:div w:id="1402798266">
      <w:bodyDiv w:val="1"/>
      <w:marLeft w:val="0"/>
      <w:marRight w:val="0"/>
      <w:marTop w:val="0"/>
      <w:marBottom w:val="0"/>
      <w:divBdr>
        <w:top w:val="none" w:sz="0" w:space="0" w:color="auto"/>
        <w:left w:val="none" w:sz="0" w:space="0" w:color="auto"/>
        <w:bottom w:val="none" w:sz="0" w:space="0" w:color="auto"/>
        <w:right w:val="none" w:sz="0" w:space="0" w:color="auto"/>
      </w:divBdr>
    </w:div>
    <w:div w:id="1412703864">
      <w:bodyDiv w:val="1"/>
      <w:marLeft w:val="0"/>
      <w:marRight w:val="0"/>
      <w:marTop w:val="0"/>
      <w:marBottom w:val="0"/>
      <w:divBdr>
        <w:top w:val="none" w:sz="0" w:space="0" w:color="auto"/>
        <w:left w:val="none" w:sz="0" w:space="0" w:color="auto"/>
        <w:bottom w:val="none" w:sz="0" w:space="0" w:color="auto"/>
        <w:right w:val="none" w:sz="0" w:space="0" w:color="auto"/>
      </w:divBdr>
    </w:div>
    <w:div w:id="1416633229">
      <w:bodyDiv w:val="1"/>
      <w:marLeft w:val="0"/>
      <w:marRight w:val="0"/>
      <w:marTop w:val="0"/>
      <w:marBottom w:val="0"/>
      <w:divBdr>
        <w:top w:val="none" w:sz="0" w:space="0" w:color="auto"/>
        <w:left w:val="none" w:sz="0" w:space="0" w:color="auto"/>
        <w:bottom w:val="none" w:sz="0" w:space="0" w:color="auto"/>
        <w:right w:val="none" w:sz="0" w:space="0" w:color="auto"/>
      </w:divBdr>
    </w:div>
    <w:div w:id="1423259766">
      <w:bodyDiv w:val="1"/>
      <w:marLeft w:val="0"/>
      <w:marRight w:val="0"/>
      <w:marTop w:val="0"/>
      <w:marBottom w:val="0"/>
      <w:divBdr>
        <w:top w:val="none" w:sz="0" w:space="0" w:color="auto"/>
        <w:left w:val="none" w:sz="0" w:space="0" w:color="auto"/>
        <w:bottom w:val="none" w:sz="0" w:space="0" w:color="auto"/>
        <w:right w:val="none" w:sz="0" w:space="0" w:color="auto"/>
      </w:divBdr>
    </w:div>
    <w:div w:id="1429689700">
      <w:bodyDiv w:val="1"/>
      <w:marLeft w:val="0"/>
      <w:marRight w:val="0"/>
      <w:marTop w:val="0"/>
      <w:marBottom w:val="0"/>
      <w:divBdr>
        <w:top w:val="none" w:sz="0" w:space="0" w:color="auto"/>
        <w:left w:val="none" w:sz="0" w:space="0" w:color="auto"/>
        <w:bottom w:val="none" w:sz="0" w:space="0" w:color="auto"/>
        <w:right w:val="none" w:sz="0" w:space="0" w:color="auto"/>
      </w:divBdr>
    </w:div>
    <w:div w:id="1436056985">
      <w:bodyDiv w:val="1"/>
      <w:marLeft w:val="0"/>
      <w:marRight w:val="0"/>
      <w:marTop w:val="0"/>
      <w:marBottom w:val="0"/>
      <w:divBdr>
        <w:top w:val="none" w:sz="0" w:space="0" w:color="auto"/>
        <w:left w:val="none" w:sz="0" w:space="0" w:color="auto"/>
        <w:bottom w:val="none" w:sz="0" w:space="0" w:color="auto"/>
        <w:right w:val="none" w:sz="0" w:space="0" w:color="auto"/>
      </w:divBdr>
    </w:div>
    <w:div w:id="1438409477">
      <w:bodyDiv w:val="1"/>
      <w:marLeft w:val="0"/>
      <w:marRight w:val="0"/>
      <w:marTop w:val="0"/>
      <w:marBottom w:val="0"/>
      <w:divBdr>
        <w:top w:val="none" w:sz="0" w:space="0" w:color="auto"/>
        <w:left w:val="none" w:sz="0" w:space="0" w:color="auto"/>
        <w:bottom w:val="none" w:sz="0" w:space="0" w:color="auto"/>
        <w:right w:val="none" w:sz="0" w:space="0" w:color="auto"/>
      </w:divBdr>
    </w:div>
    <w:div w:id="1444304795">
      <w:bodyDiv w:val="1"/>
      <w:marLeft w:val="0"/>
      <w:marRight w:val="0"/>
      <w:marTop w:val="0"/>
      <w:marBottom w:val="0"/>
      <w:divBdr>
        <w:top w:val="none" w:sz="0" w:space="0" w:color="auto"/>
        <w:left w:val="none" w:sz="0" w:space="0" w:color="auto"/>
        <w:bottom w:val="none" w:sz="0" w:space="0" w:color="auto"/>
        <w:right w:val="none" w:sz="0" w:space="0" w:color="auto"/>
      </w:divBdr>
    </w:div>
    <w:div w:id="1447846176">
      <w:bodyDiv w:val="1"/>
      <w:marLeft w:val="0"/>
      <w:marRight w:val="0"/>
      <w:marTop w:val="0"/>
      <w:marBottom w:val="0"/>
      <w:divBdr>
        <w:top w:val="none" w:sz="0" w:space="0" w:color="auto"/>
        <w:left w:val="none" w:sz="0" w:space="0" w:color="auto"/>
        <w:bottom w:val="none" w:sz="0" w:space="0" w:color="auto"/>
        <w:right w:val="none" w:sz="0" w:space="0" w:color="auto"/>
      </w:divBdr>
      <w:divsChild>
        <w:div w:id="1768042765">
          <w:marLeft w:val="0"/>
          <w:marRight w:val="0"/>
          <w:marTop w:val="0"/>
          <w:marBottom w:val="0"/>
          <w:divBdr>
            <w:top w:val="none" w:sz="0" w:space="0" w:color="auto"/>
            <w:left w:val="none" w:sz="0" w:space="0" w:color="auto"/>
            <w:bottom w:val="none" w:sz="0" w:space="0" w:color="auto"/>
            <w:right w:val="none" w:sz="0" w:space="0" w:color="auto"/>
          </w:divBdr>
          <w:divsChild>
            <w:div w:id="849489636">
              <w:marLeft w:val="0"/>
              <w:marRight w:val="0"/>
              <w:marTop w:val="0"/>
              <w:marBottom w:val="0"/>
              <w:divBdr>
                <w:top w:val="none" w:sz="0" w:space="0" w:color="auto"/>
                <w:left w:val="none" w:sz="0" w:space="0" w:color="auto"/>
                <w:bottom w:val="none" w:sz="0" w:space="0" w:color="auto"/>
                <w:right w:val="none" w:sz="0" w:space="0" w:color="auto"/>
              </w:divBdr>
              <w:divsChild>
                <w:div w:id="850947691">
                  <w:marLeft w:val="0"/>
                  <w:marRight w:val="0"/>
                  <w:marTop w:val="0"/>
                  <w:marBottom w:val="0"/>
                  <w:divBdr>
                    <w:top w:val="none" w:sz="0" w:space="0" w:color="auto"/>
                    <w:left w:val="none" w:sz="0" w:space="0" w:color="auto"/>
                    <w:bottom w:val="none" w:sz="0" w:space="0" w:color="auto"/>
                    <w:right w:val="none" w:sz="0" w:space="0" w:color="auto"/>
                  </w:divBdr>
                  <w:divsChild>
                    <w:div w:id="695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938483">
      <w:bodyDiv w:val="1"/>
      <w:marLeft w:val="0"/>
      <w:marRight w:val="0"/>
      <w:marTop w:val="0"/>
      <w:marBottom w:val="0"/>
      <w:divBdr>
        <w:top w:val="none" w:sz="0" w:space="0" w:color="auto"/>
        <w:left w:val="none" w:sz="0" w:space="0" w:color="auto"/>
        <w:bottom w:val="none" w:sz="0" w:space="0" w:color="auto"/>
        <w:right w:val="none" w:sz="0" w:space="0" w:color="auto"/>
      </w:divBdr>
    </w:div>
    <w:div w:id="1455517776">
      <w:bodyDiv w:val="1"/>
      <w:marLeft w:val="0"/>
      <w:marRight w:val="0"/>
      <w:marTop w:val="0"/>
      <w:marBottom w:val="0"/>
      <w:divBdr>
        <w:top w:val="none" w:sz="0" w:space="0" w:color="auto"/>
        <w:left w:val="none" w:sz="0" w:space="0" w:color="auto"/>
        <w:bottom w:val="none" w:sz="0" w:space="0" w:color="auto"/>
        <w:right w:val="none" w:sz="0" w:space="0" w:color="auto"/>
      </w:divBdr>
    </w:div>
    <w:div w:id="1456363746">
      <w:bodyDiv w:val="1"/>
      <w:marLeft w:val="0"/>
      <w:marRight w:val="0"/>
      <w:marTop w:val="0"/>
      <w:marBottom w:val="0"/>
      <w:divBdr>
        <w:top w:val="none" w:sz="0" w:space="0" w:color="auto"/>
        <w:left w:val="none" w:sz="0" w:space="0" w:color="auto"/>
        <w:bottom w:val="none" w:sz="0" w:space="0" w:color="auto"/>
        <w:right w:val="none" w:sz="0" w:space="0" w:color="auto"/>
      </w:divBdr>
    </w:div>
    <w:div w:id="1461192909">
      <w:bodyDiv w:val="1"/>
      <w:marLeft w:val="0"/>
      <w:marRight w:val="0"/>
      <w:marTop w:val="0"/>
      <w:marBottom w:val="0"/>
      <w:divBdr>
        <w:top w:val="none" w:sz="0" w:space="0" w:color="auto"/>
        <w:left w:val="none" w:sz="0" w:space="0" w:color="auto"/>
        <w:bottom w:val="none" w:sz="0" w:space="0" w:color="auto"/>
        <w:right w:val="none" w:sz="0" w:space="0" w:color="auto"/>
      </w:divBdr>
    </w:div>
    <w:div w:id="1461919117">
      <w:bodyDiv w:val="1"/>
      <w:marLeft w:val="0"/>
      <w:marRight w:val="0"/>
      <w:marTop w:val="0"/>
      <w:marBottom w:val="0"/>
      <w:divBdr>
        <w:top w:val="none" w:sz="0" w:space="0" w:color="auto"/>
        <w:left w:val="none" w:sz="0" w:space="0" w:color="auto"/>
        <w:bottom w:val="none" w:sz="0" w:space="0" w:color="auto"/>
        <w:right w:val="none" w:sz="0" w:space="0" w:color="auto"/>
      </w:divBdr>
      <w:divsChild>
        <w:div w:id="1471247100">
          <w:marLeft w:val="0"/>
          <w:marRight w:val="0"/>
          <w:marTop w:val="0"/>
          <w:marBottom w:val="0"/>
          <w:divBdr>
            <w:top w:val="none" w:sz="0" w:space="0" w:color="auto"/>
            <w:left w:val="none" w:sz="0" w:space="0" w:color="auto"/>
            <w:bottom w:val="none" w:sz="0" w:space="0" w:color="auto"/>
            <w:right w:val="none" w:sz="0" w:space="0" w:color="auto"/>
          </w:divBdr>
          <w:divsChild>
            <w:div w:id="1165634942">
              <w:marLeft w:val="0"/>
              <w:marRight w:val="0"/>
              <w:marTop w:val="0"/>
              <w:marBottom w:val="0"/>
              <w:divBdr>
                <w:top w:val="none" w:sz="0" w:space="0" w:color="auto"/>
                <w:left w:val="none" w:sz="0" w:space="0" w:color="auto"/>
                <w:bottom w:val="none" w:sz="0" w:space="0" w:color="auto"/>
                <w:right w:val="none" w:sz="0" w:space="0" w:color="auto"/>
              </w:divBdr>
              <w:divsChild>
                <w:div w:id="356468242">
                  <w:marLeft w:val="0"/>
                  <w:marRight w:val="0"/>
                  <w:marTop w:val="0"/>
                  <w:marBottom w:val="0"/>
                  <w:divBdr>
                    <w:top w:val="none" w:sz="0" w:space="0" w:color="auto"/>
                    <w:left w:val="none" w:sz="0" w:space="0" w:color="auto"/>
                    <w:bottom w:val="none" w:sz="0" w:space="0" w:color="auto"/>
                    <w:right w:val="none" w:sz="0" w:space="0" w:color="auto"/>
                  </w:divBdr>
                  <w:divsChild>
                    <w:div w:id="1157646472">
                      <w:marLeft w:val="0"/>
                      <w:marRight w:val="0"/>
                      <w:marTop w:val="0"/>
                      <w:marBottom w:val="0"/>
                      <w:divBdr>
                        <w:top w:val="none" w:sz="0" w:space="0" w:color="auto"/>
                        <w:left w:val="none" w:sz="0" w:space="0" w:color="auto"/>
                        <w:bottom w:val="none" w:sz="0" w:space="0" w:color="auto"/>
                        <w:right w:val="none" w:sz="0" w:space="0" w:color="auto"/>
                      </w:divBdr>
                      <w:divsChild>
                        <w:div w:id="1143931442">
                          <w:marLeft w:val="0"/>
                          <w:marRight w:val="0"/>
                          <w:marTop w:val="0"/>
                          <w:marBottom w:val="420"/>
                          <w:divBdr>
                            <w:top w:val="none" w:sz="0" w:space="0" w:color="auto"/>
                            <w:left w:val="none" w:sz="0" w:space="0" w:color="auto"/>
                            <w:bottom w:val="none" w:sz="0" w:space="0" w:color="auto"/>
                            <w:right w:val="none" w:sz="0" w:space="0" w:color="auto"/>
                          </w:divBdr>
                          <w:divsChild>
                            <w:div w:id="497887627">
                              <w:marLeft w:val="0"/>
                              <w:marRight w:val="0"/>
                              <w:marTop w:val="0"/>
                              <w:marBottom w:val="0"/>
                              <w:divBdr>
                                <w:top w:val="none" w:sz="0" w:space="0" w:color="auto"/>
                                <w:left w:val="none" w:sz="0" w:space="0" w:color="auto"/>
                                <w:bottom w:val="none" w:sz="0" w:space="0" w:color="auto"/>
                                <w:right w:val="none" w:sz="0" w:space="0" w:color="auto"/>
                              </w:divBdr>
                              <w:divsChild>
                                <w:div w:id="257175796">
                                  <w:marLeft w:val="0"/>
                                  <w:marRight w:val="0"/>
                                  <w:marTop w:val="0"/>
                                  <w:marBottom w:val="420"/>
                                  <w:divBdr>
                                    <w:top w:val="none" w:sz="0" w:space="0" w:color="auto"/>
                                    <w:left w:val="none" w:sz="0" w:space="0" w:color="auto"/>
                                    <w:bottom w:val="none" w:sz="0" w:space="0" w:color="auto"/>
                                    <w:right w:val="none" w:sz="0" w:space="0" w:color="auto"/>
                                  </w:divBdr>
                                  <w:divsChild>
                                    <w:div w:id="33122644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658617">
      <w:bodyDiv w:val="1"/>
      <w:marLeft w:val="0"/>
      <w:marRight w:val="0"/>
      <w:marTop w:val="0"/>
      <w:marBottom w:val="0"/>
      <w:divBdr>
        <w:top w:val="none" w:sz="0" w:space="0" w:color="auto"/>
        <w:left w:val="none" w:sz="0" w:space="0" w:color="auto"/>
        <w:bottom w:val="none" w:sz="0" w:space="0" w:color="auto"/>
        <w:right w:val="none" w:sz="0" w:space="0" w:color="auto"/>
      </w:divBdr>
    </w:div>
    <w:div w:id="1472288791">
      <w:bodyDiv w:val="1"/>
      <w:marLeft w:val="0"/>
      <w:marRight w:val="0"/>
      <w:marTop w:val="0"/>
      <w:marBottom w:val="0"/>
      <w:divBdr>
        <w:top w:val="none" w:sz="0" w:space="0" w:color="auto"/>
        <w:left w:val="none" w:sz="0" w:space="0" w:color="auto"/>
        <w:bottom w:val="none" w:sz="0" w:space="0" w:color="auto"/>
        <w:right w:val="none" w:sz="0" w:space="0" w:color="auto"/>
      </w:divBdr>
    </w:div>
    <w:div w:id="1479033420">
      <w:bodyDiv w:val="1"/>
      <w:marLeft w:val="0"/>
      <w:marRight w:val="0"/>
      <w:marTop w:val="0"/>
      <w:marBottom w:val="0"/>
      <w:divBdr>
        <w:top w:val="none" w:sz="0" w:space="0" w:color="auto"/>
        <w:left w:val="none" w:sz="0" w:space="0" w:color="auto"/>
        <w:bottom w:val="none" w:sz="0" w:space="0" w:color="auto"/>
        <w:right w:val="none" w:sz="0" w:space="0" w:color="auto"/>
      </w:divBdr>
    </w:div>
    <w:div w:id="1479808519">
      <w:bodyDiv w:val="1"/>
      <w:marLeft w:val="0"/>
      <w:marRight w:val="0"/>
      <w:marTop w:val="0"/>
      <w:marBottom w:val="0"/>
      <w:divBdr>
        <w:top w:val="none" w:sz="0" w:space="0" w:color="auto"/>
        <w:left w:val="none" w:sz="0" w:space="0" w:color="auto"/>
        <w:bottom w:val="none" w:sz="0" w:space="0" w:color="auto"/>
        <w:right w:val="none" w:sz="0" w:space="0" w:color="auto"/>
      </w:divBdr>
    </w:div>
    <w:div w:id="1479834796">
      <w:bodyDiv w:val="1"/>
      <w:marLeft w:val="0"/>
      <w:marRight w:val="0"/>
      <w:marTop w:val="0"/>
      <w:marBottom w:val="0"/>
      <w:divBdr>
        <w:top w:val="none" w:sz="0" w:space="0" w:color="auto"/>
        <w:left w:val="none" w:sz="0" w:space="0" w:color="auto"/>
        <w:bottom w:val="none" w:sz="0" w:space="0" w:color="auto"/>
        <w:right w:val="none" w:sz="0" w:space="0" w:color="auto"/>
      </w:divBdr>
    </w:div>
    <w:div w:id="1482229221">
      <w:bodyDiv w:val="1"/>
      <w:marLeft w:val="0"/>
      <w:marRight w:val="0"/>
      <w:marTop w:val="0"/>
      <w:marBottom w:val="0"/>
      <w:divBdr>
        <w:top w:val="none" w:sz="0" w:space="0" w:color="auto"/>
        <w:left w:val="none" w:sz="0" w:space="0" w:color="auto"/>
        <w:bottom w:val="none" w:sz="0" w:space="0" w:color="auto"/>
        <w:right w:val="none" w:sz="0" w:space="0" w:color="auto"/>
      </w:divBdr>
    </w:div>
    <w:div w:id="1496529840">
      <w:bodyDiv w:val="1"/>
      <w:marLeft w:val="0"/>
      <w:marRight w:val="0"/>
      <w:marTop w:val="0"/>
      <w:marBottom w:val="0"/>
      <w:divBdr>
        <w:top w:val="none" w:sz="0" w:space="0" w:color="auto"/>
        <w:left w:val="none" w:sz="0" w:space="0" w:color="auto"/>
        <w:bottom w:val="none" w:sz="0" w:space="0" w:color="auto"/>
        <w:right w:val="none" w:sz="0" w:space="0" w:color="auto"/>
      </w:divBdr>
    </w:div>
    <w:div w:id="1504783307">
      <w:bodyDiv w:val="1"/>
      <w:marLeft w:val="0"/>
      <w:marRight w:val="0"/>
      <w:marTop w:val="0"/>
      <w:marBottom w:val="0"/>
      <w:divBdr>
        <w:top w:val="none" w:sz="0" w:space="0" w:color="auto"/>
        <w:left w:val="none" w:sz="0" w:space="0" w:color="auto"/>
        <w:bottom w:val="none" w:sz="0" w:space="0" w:color="auto"/>
        <w:right w:val="none" w:sz="0" w:space="0" w:color="auto"/>
      </w:divBdr>
    </w:div>
    <w:div w:id="1507592922">
      <w:bodyDiv w:val="1"/>
      <w:marLeft w:val="0"/>
      <w:marRight w:val="0"/>
      <w:marTop w:val="0"/>
      <w:marBottom w:val="0"/>
      <w:divBdr>
        <w:top w:val="none" w:sz="0" w:space="0" w:color="auto"/>
        <w:left w:val="none" w:sz="0" w:space="0" w:color="auto"/>
        <w:bottom w:val="none" w:sz="0" w:space="0" w:color="auto"/>
        <w:right w:val="none" w:sz="0" w:space="0" w:color="auto"/>
      </w:divBdr>
    </w:div>
    <w:div w:id="1509636971">
      <w:bodyDiv w:val="1"/>
      <w:marLeft w:val="0"/>
      <w:marRight w:val="0"/>
      <w:marTop w:val="0"/>
      <w:marBottom w:val="0"/>
      <w:divBdr>
        <w:top w:val="none" w:sz="0" w:space="0" w:color="auto"/>
        <w:left w:val="none" w:sz="0" w:space="0" w:color="auto"/>
        <w:bottom w:val="none" w:sz="0" w:space="0" w:color="auto"/>
        <w:right w:val="none" w:sz="0" w:space="0" w:color="auto"/>
      </w:divBdr>
    </w:div>
    <w:div w:id="1512794661">
      <w:bodyDiv w:val="1"/>
      <w:marLeft w:val="0"/>
      <w:marRight w:val="0"/>
      <w:marTop w:val="0"/>
      <w:marBottom w:val="0"/>
      <w:divBdr>
        <w:top w:val="none" w:sz="0" w:space="0" w:color="auto"/>
        <w:left w:val="none" w:sz="0" w:space="0" w:color="auto"/>
        <w:bottom w:val="none" w:sz="0" w:space="0" w:color="auto"/>
        <w:right w:val="none" w:sz="0" w:space="0" w:color="auto"/>
      </w:divBdr>
    </w:div>
    <w:div w:id="1513109961">
      <w:bodyDiv w:val="1"/>
      <w:marLeft w:val="0"/>
      <w:marRight w:val="0"/>
      <w:marTop w:val="0"/>
      <w:marBottom w:val="0"/>
      <w:divBdr>
        <w:top w:val="none" w:sz="0" w:space="0" w:color="auto"/>
        <w:left w:val="none" w:sz="0" w:space="0" w:color="auto"/>
        <w:bottom w:val="none" w:sz="0" w:space="0" w:color="auto"/>
        <w:right w:val="none" w:sz="0" w:space="0" w:color="auto"/>
      </w:divBdr>
    </w:div>
    <w:div w:id="1515419989">
      <w:bodyDiv w:val="1"/>
      <w:marLeft w:val="0"/>
      <w:marRight w:val="0"/>
      <w:marTop w:val="0"/>
      <w:marBottom w:val="0"/>
      <w:divBdr>
        <w:top w:val="none" w:sz="0" w:space="0" w:color="auto"/>
        <w:left w:val="none" w:sz="0" w:space="0" w:color="auto"/>
        <w:bottom w:val="none" w:sz="0" w:space="0" w:color="auto"/>
        <w:right w:val="none" w:sz="0" w:space="0" w:color="auto"/>
      </w:divBdr>
    </w:div>
    <w:div w:id="1528449803">
      <w:bodyDiv w:val="1"/>
      <w:marLeft w:val="0"/>
      <w:marRight w:val="0"/>
      <w:marTop w:val="0"/>
      <w:marBottom w:val="0"/>
      <w:divBdr>
        <w:top w:val="none" w:sz="0" w:space="0" w:color="auto"/>
        <w:left w:val="none" w:sz="0" w:space="0" w:color="auto"/>
        <w:bottom w:val="none" w:sz="0" w:space="0" w:color="auto"/>
        <w:right w:val="none" w:sz="0" w:space="0" w:color="auto"/>
      </w:divBdr>
      <w:divsChild>
        <w:div w:id="804080708">
          <w:marLeft w:val="0"/>
          <w:marRight w:val="0"/>
          <w:marTop w:val="0"/>
          <w:marBottom w:val="0"/>
          <w:divBdr>
            <w:top w:val="none" w:sz="0" w:space="0" w:color="auto"/>
            <w:left w:val="none" w:sz="0" w:space="0" w:color="auto"/>
            <w:bottom w:val="none" w:sz="0" w:space="0" w:color="auto"/>
            <w:right w:val="none" w:sz="0" w:space="0" w:color="auto"/>
          </w:divBdr>
          <w:divsChild>
            <w:div w:id="1221287764">
              <w:marLeft w:val="0"/>
              <w:marRight w:val="0"/>
              <w:marTop w:val="0"/>
              <w:marBottom w:val="0"/>
              <w:divBdr>
                <w:top w:val="none" w:sz="0" w:space="0" w:color="auto"/>
                <w:left w:val="none" w:sz="0" w:space="0" w:color="auto"/>
                <w:bottom w:val="none" w:sz="0" w:space="0" w:color="auto"/>
                <w:right w:val="none" w:sz="0" w:space="0" w:color="auto"/>
              </w:divBdr>
              <w:divsChild>
                <w:div w:id="2133285165">
                  <w:marLeft w:val="0"/>
                  <w:marRight w:val="0"/>
                  <w:marTop w:val="0"/>
                  <w:marBottom w:val="0"/>
                  <w:divBdr>
                    <w:top w:val="none" w:sz="0" w:space="0" w:color="auto"/>
                    <w:left w:val="none" w:sz="0" w:space="0" w:color="auto"/>
                    <w:bottom w:val="none" w:sz="0" w:space="0" w:color="auto"/>
                    <w:right w:val="none" w:sz="0" w:space="0" w:color="auto"/>
                  </w:divBdr>
                  <w:divsChild>
                    <w:div w:id="13389738">
                      <w:marLeft w:val="0"/>
                      <w:marRight w:val="0"/>
                      <w:marTop w:val="0"/>
                      <w:marBottom w:val="0"/>
                      <w:divBdr>
                        <w:top w:val="none" w:sz="0" w:space="0" w:color="auto"/>
                        <w:left w:val="none" w:sz="0" w:space="0" w:color="auto"/>
                        <w:bottom w:val="none" w:sz="0" w:space="0" w:color="auto"/>
                        <w:right w:val="none" w:sz="0" w:space="0" w:color="auto"/>
                      </w:divBdr>
                    </w:div>
                    <w:div w:id="89131027">
                      <w:marLeft w:val="0"/>
                      <w:marRight w:val="0"/>
                      <w:marTop w:val="0"/>
                      <w:marBottom w:val="0"/>
                      <w:divBdr>
                        <w:top w:val="none" w:sz="0" w:space="0" w:color="auto"/>
                        <w:left w:val="none" w:sz="0" w:space="0" w:color="auto"/>
                        <w:bottom w:val="none" w:sz="0" w:space="0" w:color="auto"/>
                        <w:right w:val="none" w:sz="0" w:space="0" w:color="auto"/>
                      </w:divBdr>
                    </w:div>
                    <w:div w:id="122163110">
                      <w:marLeft w:val="0"/>
                      <w:marRight w:val="0"/>
                      <w:marTop w:val="0"/>
                      <w:marBottom w:val="0"/>
                      <w:divBdr>
                        <w:top w:val="none" w:sz="0" w:space="0" w:color="auto"/>
                        <w:left w:val="none" w:sz="0" w:space="0" w:color="auto"/>
                        <w:bottom w:val="none" w:sz="0" w:space="0" w:color="auto"/>
                        <w:right w:val="none" w:sz="0" w:space="0" w:color="auto"/>
                      </w:divBdr>
                    </w:div>
                    <w:div w:id="211772246">
                      <w:marLeft w:val="0"/>
                      <w:marRight w:val="0"/>
                      <w:marTop w:val="0"/>
                      <w:marBottom w:val="0"/>
                      <w:divBdr>
                        <w:top w:val="none" w:sz="0" w:space="0" w:color="auto"/>
                        <w:left w:val="none" w:sz="0" w:space="0" w:color="auto"/>
                        <w:bottom w:val="none" w:sz="0" w:space="0" w:color="auto"/>
                        <w:right w:val="none" w:sz="0" w:space="0" w:color="auto"/>
                      </w:divBdr>
                    </w:div>
                    <w:div w:id="243683430">
                      <w:marLeft w:val="0"/>
                      <w:marRight w:val="0"/>
                      <w:marTop w:val="0"/>
                      <w:marBottom w:val="0"/>
                      <w:divBdr>
                        <w:top w:val="none" w:sz="0" w:space="0" w:color="auto"/>
                        <w:left w:val="none" w:sz="0" w:space="0" w:color="auto"/>
                        <w:bottom w:val="none" w:sz="0" w:space="0" w:color="auto"/>
                        <w:right w:val="none" w:sz="0" w:space="0" w:color="auto"/>
                      </w:divBdr>
                    </w:div>
                    <w:div w:id="315181671">
                      <w:marLeft w:val="0"/>
                      <w:marRight w:val="0"/>
                      <w:marTop w:val="0"/>
                      <w:marBottom w:val="0"/>
                      <w:divBdr>
                        <w:top w:val="none" w:sz="0" w:space="0" w:color="auto"/>
                        <w:left w:val="none" w:sz="0" w:space="0" w:color="auto"/>
                        <w:bottom w:val="none" w:sz="0" w:space="0" w:color="auto"/>
                        <w:right w:val="none" w:sz="0" w:space="0" w:color="auto"/>
                      </w:divBdr>
                    </w:div>
                    <w:div w:id="378014327">
                      <w:marLeft w:val="0"/>
                      <w:marRight w:val="0"/>
                      <w:marTop w:val="0"/>
                      <w:marBottom w:val="0"/>
                      <w:divBdr>
                        <w:top w:val="none" w:sz="0" w:space="0" w:color="auto"/>
                        <w:left w:val="none" w:sz="0" w:space="0" w:color="auto"/>
                        <w:bottom w:val="none" w:sz="0" w:space="0" w:color="auto"/>
                        <w:right w:val="none" w:sz="0" w:space="0" w:color="auto"/>
                      </w:divBdr>
                    </w:div>
                    <w:div w:id="478301293">
                      <w:marLeft w:val="0"/>
                      <w:marRight w:val="0"/>
                      <w:marTop w:val="0"/>
                      <w:marBottom w:val="0"/>
                      <w:divBdr>
                        <w:top w:val="none" w:sz="0" w:space="0" w:color="auto"/>
                        <w:left w:val="none" w:sz="0" w:space="0" w:color="auto"/>
                        <w:bottom w:val="none" w:sz="0" w:space="0" w:color="auto"/>
                        <w:right w:val="none" w:sz="0" w:space="0" w:color="auto"/>
                      </w:divBdr>
                    </w:div>
                    <w:div w:id="487091134">
                      <w:marLeft w:val="0"/>
                      <w:marRight w:val="0"/>
                      <w:marTop w:val="0"/>
                      <w:marBottom w:val="0"/>
                      <w:divBdr>
                        <w:top w:val="none" w:sz="0" w:space="0" w:color="auto"/>
                        <w:left w:val="none" w:sz="0" w:space="0" w:color="auto"/>
                        <w:bottom w:val="none" w:sz="0" w:space="0" w:color="auto"/>
                        <w:right w:val="none" w:sz="0" w:space="0" w:color="auto"/>
                      </w:divBdr>
                    </w:div>
                    <w:div w:id="521359386">
                      <w:marLeft w:val="0"/>
                      <w:marRight w:val="0"/>
                      <w:marTop w:val="0"/>
                      <w:marBottom w:val="0"/>
                      <w:divBdr>
                        <w:top w:val="none" w:sz="0" w:space="0" w:color="auto"/>
                        <w:left w:val="none" w:sz="0" w:space="0" w:color="auto"/>
                        <w:bottom w:val="none" w:sz="0" w:space="0" w:color="auto"/>
                        <w:right w:val="none" w:sz="0" w:space="0" w:color="auto"/>
                      </w:divBdr>
                    </w:div>
                    <w:div w:id="765032991">
                      <w:marLeft w:val="0"/>
                      <w:marRight w:val="0"/>
                      <w:marTop w:val="0"/>
                      <w:marBottom w:val="0"/>
                      <w:divBdr>
                        <w:top w:val="none" w:sz="0" w:space="0" w:color="auto"/>
                        <w:left w:val="none" w:sz="0" w:space="0" w:color="auto"/>
                        <w:bottom w:val="none" w:sz="0" w:space="0" w:color="auto"/>
                        <w:right w:val="none" w:sz="0" w:space="0" w:color="auto"/>
                      </w:divBdr>
                    </w:div>
                    <w:div w:id="797994473">
                      <w:marLeft w:val="0"/>
                      <w:marRight w:val="0"/>
                      <w:marTop w:val="0"/>
                      <w:marBottom w:val="0"/>
                      <w:divBdr>
                        <w:top w:val="none" w:sz="0" w:space="0" w:color="auto"/>
                        <w:left w:val="none" w:sz="0" w:space="0" w:color="auto"/>
                        <w:bottom w:val="none" w:sz="0" w:space="0" w:color="auto"/>
                        <w:right w:val="none" w:sz="0" w:space="0" w:color="auto"/>
                      </w:divBdr>
                    </w:div>
                    <w:div w:id="942689776">
                      <w:marLeft w:val="0"/>
                      <w:marRight w:val="0"/>
                      <w:marTop w:val="0"/>
                      <w:marBottom w:val="0"/>
                      <w:divBdr>
                        <w:top w:val="none" w:sz="0" w:space="0" w:color="auto"/>
                        <w:left w:val="none" w:sz="0" w:space="0" w:color="auto"/>
                        <w:bottom w:val="none" w:sz="0" w:space="0" w:color="auto"/>
                        <w:right w:val="none" w:sz="0" w:space="0" w:color="auto"/>
                      </w:divBdr>
                    </w:div>
                    <w:div w:id="1069116603">
                      <w:marLeft w:val="0"/>
                      <w:marRight w:val="0"/>
                      <w:marTop w:val="0"/>
                      <w:marBottom w:val="0"/>
                      <w:divBdr>
                        <w:top w:val="none" w:sz="0" w:space="0" w:color="auto"/>
                        <w:left w:val="none" w:sz="0" w:space="0" w:color="auto"/>
                        <w:bottom w:val="none" w:sz="0" w:space="0" w:color="auto"/>
                        <w:right w:val="none" w:sz="0" w:space="0" w:color="auto"/>
                      </w:divBdr>
                    </w:div>
                    <w:div w:id="1105224413">
                      <w:marLeft w:val="0"/>
                      <w:marRight w:val="0"/>
                      <w:marTop w:val="0"/>
                      <w:marBottom w:val="0"/>
                      <w:divBdr>
                        <w:top w:val="none" w:sz="0" w:space="0" w:color="auto"/>
                        <w:left w:val="none" w:sz="0" w:space="0" w:color="auto"/>
                        <w:bottom w:val="none" w:sz="0" w:space="0" w:color="auto"/>
                        <w:right w:val="none" w:sz="0" w:space="0" w:color="auto"/>
                      </w:divBdr>
                    </w:div>
                    <w:div w:id="1334183859">
                      <w:marLeft w:val="0"/>
                      <w:marRight w:val="0"/>
                      <w:marTop w:val="0"/>
                      <w:marBottom w:val="0"/>
                      <w:divBdr>
                        <w:top w:val="none" w:sz="0" w:space="0" w:color="auto"/>
                        <w:left w:val="none" w:sz="0" w:space="0" w:color="auto"/>
                        <w:bottom w:val="none" w:sz="0" w:space="0" w:color="auto"/>
                        <w:right w:val="none" w:sz="0" w:space="0" w:color="auto"/>
                      </w:divBdr>
                    </w:div>
                    <w:div w:id="1557621835">
                      <w:marLeft w:val="0"/>
                      <w:marRight w:val="0"/>
                      <w:marTop w:val="0"/>
                      <w:marBottom w:val="0"/>
                      <w:divBdr>
                        <w:top w:val="none" w:sz="0" w:space="0" w:color="auto"/>
                        <w:left w:val="none" w:sz="0" w:space="0" w:color="auto"/>
                        <w:bottom w:val="none" w:sz="0" w:space="0" w:color="auto"/>
                        <w:right w:val="none" w:sz="0" w:space="0" w:color="auto"/>
                      </w:divBdr>
                    </w:div>
                    <w:div w:id="1616670921">
                      <w:marLeft w:val="0"/>
                      <w:marRight w:val="0"/>
                      <w:marTop w:val="0"/>
                      <w:marBottom w:val="0"/>
                      <w:divBdr>
                        <w:top w:val="none" w:sz="0" w:space="0" w:color="auto"/>
                        <w:left w:val="none" w:sz="0" w:space="0" w:color="auto"/>
                        <w:bottom w:val="none" w:sz="0" w:space="0" w:color="auto"/>
                        <w:right w:val="none" w:sz="0" w:space="0" w:color="auto"/>
                      </w:divBdr>
                    </w:div>
                    <w:div w:id="1671639555">
                      <w:marLeft w:val="0"/>
                      <w:marRight w:val="0"/>
                      <w:marTop w:val="0"/>
                      <w:marBottom w:val="0"/>
                      <w:divBdr>
                        <w:top w:val="none" w:sz="0" w:space="0" w:color="auto"/>
                        <w:left w:val="none" w:sz="0" w:space="0" w:color="auto"/>
                        <w:bottom w:val="none" w:sz="0" w:space="0" w:color="auto"/>
                        <w:right w:val="none" w:sz="0" w:space="0" w:color="auto"/>
                      </w:divBdr>
                    </w:div>
                    <w:div w:id="1785344942">
                      <w:marLeft w:val="0"/>
                      <w:marRight w:val="0"/>
                      <w:marTop w:val="0"/>
                      <w:marBottom w:val="0"/>
                      <w:divBdr>
                        <w:top w:val="none" w:sz="0" w:space="0" w:color="auto"/>
                        <w:left w:val="none" w:sz="0" w:space="0" w:color="auto"/>
                        <w:bottom w:val="none" w:sz="0" w:space="0" w:color="auto"/>
                        <w:right w:val="none" w:sz="0" w:space="0" w:color="auto"/>
                      </w:divBdr>
                    </w:div>
                    <w:div w:id="1975523841">
                      <w:marLeft w:val="0"/>
                      <w:marRight w:val="0"/>
                      <w:marTop w:val="0"/>
                      <w:marBottom w:val="0"/>
                      <w:divBdr>
                        <w:top w:val="none" w:sz="0" w:space="0" w:color="auto"/>
                        <w:left w:val="none" w:sz="0" w:space="0" w:color="auto"/>
                        <w:bottom w:val="none" w:sz="0" w:space="0" w:color="auto"/>
                        <w:right w:val="none" w:sz="0" w:space="0" w:color="auto"/>
                      </w:divBdr>
                    </w:div>
                    <w:div w:id="2027947586">
                      <w:marLeft w:val="0"/>
                      <w:marRight w:val="0"/>
                      <w:marTop w:val="0"/>
                      <w:marBottom w:val="0"/>
                      <w:divBdr>
                        <w:top w:val="none" w:sz="0" w:space="0" w:color="auto"/>
                        <w:left w:val="none" w:sz="0" w:space="0" w:color="auto"/>
                        <w:bottom w:val="none" w:sz="0" w:space="0" w:color="auto"/>
                        <w:right w:val="none" w:sz="0" w:space="0" w:color="auto"/>
                      </w:divBdr>
                    </w:div>
                    <w:div w:id="21347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5731">
      <w:bodyDiv w:val="1"/>
      <w:marLeft w:val="0"/>
      <w:marRight w:val="0"/>
      <w:marTop w:val="0"/>
      <w:marBottom w:val="0"/>
      <w:divBdr>
        <w:top w:val="none" w:sz="0" w:space="0" w:color="auto"/>
        <w:left w:val="none" w:sz="0" w:space="0" w:color="auto"/>
        <w:bottom w:val="none" w:sz="0" w:space="0" w:color="auto"/>
        <w:right w:val="none" w:sz="0" w:space="0" w:color="auto"/>
      </w:divBdr>
    </w:div>
    <w:div w:id="1535389407">
      <w:bodyDiv w:val="1"/>
      <w:marLeft w:val="0"/>
      <w:marRight w:val="0"/>
      <w:marTop w:val="0"/>
      <w:marBottom w:val="0"/>
      <w:divBdr>
        <w:top w:val="none" w:sz="0" w:space="0" w:color="auto"/>
        <w:left w:val="none" w:sz="0" w:space="0" w:color="auto"/>
        <w:bottom w:val="none" w:sz="0" w:space="0" w:color="auto"/>
        <w:right w:val="none" w:sz="0" w:space="0" w:color="auto"/>
      </w:divBdr>
    </w:div>
    <w:div w:id="1537157333">
      <w:bodyDiv w:val="1"/>
      <w:marLeft w:val="0"/>
      <w:marRight w:val="0"/>
      <w:marTop w:val="0"/>
      <w:marBottom w:val="0"/>
      <w:divBdr>
        <w:top w:val="none" w:sz="0" w:space="0" w:color="auto"/>
        <w:left w:val="none" w:sz="0" w:space="0" w:color="auto"/>
        <w:bottom w:val="none" w:sz="0" w:space="0" w:color="auto"/>
        <w:right w:val="none" w:sz="0" w:space="0" w:color="auto"/>
      </w:divBdr>
    </w:div>
    <w:div w:id="1542283870">
      <w:bodyDiv w:val="1"/>
      <w:marLeft w:val="0"/>
      <w:marRight w:val="0"/>
      <w:marTop w:val="0"/>
      <w:marBottom w:val="0"/>
      <w:divBdr>
        <w:top w:val="none" w:sz="0" w:space="0" w:color="auto"/>
        <w:left w:val="none" w:sz="0" w:space="0" w:color="auto"/>
        <w:bottom w:val="none" w:sz="0" w:space="0" w:color="auto"/>
        <w:right w:val="none" w:sz="0" w:space="0" w:color="auto"/>
      </w:divBdr>
    </w:div>
    <w:div w:id="1543862677">
      <w:bodyDiv w:val="1"/>
      <w:marLeft w:val="0"/>
      <w:marRight w:val="0"/>
      <w:marTop w:val="0"/>
      <w:marBottom w:val="0"/>
      <w:divBdr>
        <w:top w:val="none" w:sz="0" w:space="0" w:color="auto"/>
        <w:left w:val="none" w:sz="0" w:space="0" w:color="auto"/>
        <w:bottom w:val="none" w:sz="0" w:space="0" w:color="auto"/>
        <w:right w:val="none" w:sz="0" w:space="0" w:color="auto"/>
      </w:divBdr>
    </w:div>
    <w:div w:id="1565337829">
      <w:bodyDiv w:val="1"/>
      <w:marLeft w:val="0"/>
      <w:marRight w:val="0"/>
      <w:marTop w:val="0"/>
      <w:marBottom w:val="0"/>
      <w:divBdr>
        <w:top w:val="none" w:sz="0" w:space="0" w:color="auto"/>
        <w:left w:val="none" w:sz="0" w:space="0" w:color="auto"/>
        <w:bottom w:val="none" w:sz="0" w:space="0" w:color="auto"/>
        <w:right w:val="none" w:sz="0" w:space="0" w:color="auto"/>
      </w:divBdr>
    </w:div>
    <w:div w:id="1567717641">
      <w:bodyDiv w:val="1"/>
      <w:marLeft w:val="0"/>
      <w:marRight w:val="0"/>
      <w:marTop w:val="0"/>
      <w:marBottom w:val="0"/>
      <w:divBdr>
        <w:top w:val="none" w:sz="0" w:space="0" w:color="auto"/>
        <w:left w:val="none" w:sz="0" w:space="0" w:color="auto"/>
        <w:bottom w:val="none" w:sz="0" w:space="0" w:color="auto"/>
        <w:right w:val="none" w:sz="0" w:space="0" w:color="auto"/>
      </w:divBdr>
      <w:divsChild>
        <w:div w:id="1619140693">
          <w:marLeft w:val="0"/>
          <w:marRight w:val="0"/>
          <w:marTop w:val="0"/>
          <w:marBottom w:val="0"/>
          <w:divBdr>
            <w:top w:val="none" w:sz="0" w:space="0" w:color="auto"/>
            <w:left w:val="none" w:sz="0" w:space="0" w:color="auto"/>
            <w:bottom w:val="none" w:sz="0" w:space="0" w:color="auto"/>
            <w:right w:val="none" w:sz="0" w:space="0" w:color="auto"/>
          </w:divBdr>
          <w:divsChild>
            <w:div w:id="1740208899">
              <w:marLeft w:val="0"/>
              <w:marRight w:val="0"/>
              <w:marTop w:val="0"/>
              <w:marBottom w:val="0"/>
              <w:divBdr>
                <w:top w:val="none" w:sz="0" w:space="0" w:color="auto"/>
                <w:left w:val="none" w:sz="0" w:space="0" w:color="auto"/>
                <w:bottom w:val="none" w:sz="0" w:space="0" w:color="auto"/>
                <w:right w:val="none" w:sz="0" w:space="0" w:color="auto"/>
              </w:divBdr>
              <w:divsChild>
                <w:div w:id="1815565310">
                  <w:marLeft w:val="0"/>
                  <w:marRight w:val="0"/>
                  <w:marTop w:val="0"/>
                  <w:marBottom w:val="0"/>
                  <w:divBdr>
                    <w:top w:val="none" w:sz="0" w:space="0" w:color="auto"/>
                    <w:left w:val="none" w:sz="0" w:space="0" w:color="auto"/>
                    <w:bottom w:val="none" w:sz="0" w:space="0" w:color="auto"/>
                    <w:right w:val="none" w:sz="0" w:space="0" w:color="auto"/>
                  </w:divBdr>
                  <w:divsChild>
                    <w:div w:id="376861350">
                      <w:marLeft w:val="0"/>
                      <w:marRight w:val="0"/>
                      <w:marTop w:val="0"/>
                      <w:marBottom w:val="0"/>
                      <w:divBdr>
                        <w:top w:val="none" w:sz="0" w:space="0" w:color="auto"/>
                        <w:left w:val="none" w:sz="0" w:space="0" w:color="auto"/>
                        <w:bottom w:val="none" w:sz="0" w:space="0" w:color="auto"/>
                        <w:right w:val="none" w:sz="0" w:space="0" w:color="auto"/>
                      </w:divBdr>
                      <w:divsChild>
                        <w:div w:id="41947865">
                          <w:marLeft w:val="0"/>
                          <w:marRight w:val="0"/>
                          <w:marTop w:val="0"/>
                          <w:marBottom w:val="0"/>
                          <w:divBdr>
                            <w:top w:val="none" w:sz="0" w:space="0" w:color="auto"/>
                            <w:left w:val="none" w:sz="0" w:space="0" w:color="auto"/>
                            <w:bottom w:val="none" w:sz="0" w:space="0" w:color="auto"/>
                            <w:right w:val="none" w:sz="0" w:space="0" w:color="auto"/>
                          </w:divBdr>
                          <w:divsChild>
                            <w:div w:id="834690878">
                              <w:marLeft w:val="0"/>
                              <w:marRight w:val="0"/>
                              <w:marTop w:val="0"/>
                              <w:marBottom w:val="0"/>
                              <w:divBdr>
                                <w:top w:val="none" w:sz="0" w:space="0" w:color="auto"/>
                                <w:left w:val="none" w:sz="0" w:space="0" w:color="auto"/>
                                <w:bottom w:val="none" w:sz="0" w:space="0" w:color="auto"/>
                                <w:right w:val="none" w:sz="0" w:space="0" w:color="auto"/>
                              </w:divBdr>
                              <w:divsChild>
                                <w:div w:id="8819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574040">
      <w:bodyDiv w:val="1"/>
      <w:marLeft w:val="0"/>
      <w:marRight w:val="0"/>
      <w:marTop w:val="0"/>
      <w:marBottom w:val="0"/>
      <w:divBdr>
        <w:top w:val="none" w:sz="0" w:space="0" w:color="auto"/>
        <w:left w:val="none" w:sz="0" w:space="0" w:color="auto"/>
        <w:bottom w:val="none" w:sz="0" w:space="0" w:color="auto"/>
        <w:right w:val="none" w:sz="0" w:space="0" w:color="auto"/>
      </w:divBdr>
    </w:div>
    <w:div w:id="1575817568">
      <w:bodyDiv w:val="1"/>
      <w:marLeft w:val="0"/>
      <w:marRight w:val="0"/>
      <w:marTop w:val="0"/>
      <w:marBottom w:val="0"/>
      <w:divBdr>
        <w:top w:val="none" w:sz="0" w:space="0" w:color="auto"/>
        <w:left w:val="none" w:sz="0" w:space="0" w:color="auto"/>
        <w:bottom w:val="none" w:sz="0" w:space="0" w:color="auto"/>
        <w:right w:val="none" w:sz="0" w:space="0" w:color="auto"/>
      </w:divBdr>
    </w:div>
    <w:div w:id="1578973026">
      <w:bodyDiv w:val="1"/>
      <w:marLeft w:val="0"/>
      <w:marRight w:val="0"/>
      <w:marTop w:val="0"/>
      <w:marBottom w:val="0"/>
      <w:divBdr>
        <w:top w:val="none" w:sz="0" w:space="0" w:color="auto"/>
        <w:left w:val="none" w:sz="0" w:space="0" w:color="auto"/>
        <w:bottom w:val="none" w:sz="0" w:space="0" w:color="auto"/>
        <w:right w:val="none" w:sz="0" w:space="0" w:color="auto"/>
      </w:divBdr>
    </w:div>
    <w:div w:id="1581058357">
      <w:bodyDiv w:val="1"/>
      <w:marLeft w:val="0"/>
      <w:marRight w:val="0"/>
      <w:marTop w:val="0"/>
      <w:marBottom w:val="0"/>
      <w:divBdr>
        <w:top w:val="none" w:sz="0" w:space="0" w:color="auto"/>
        <w:left w:val="none" w:sz="0" w:space="0" w:color="auto"/>
        <w:bottom w:val="none" w:sz="0" w:space="0" w:color="auto"/>
        <w:right w:val="none" w:sz="0" w:space="0" w:color="auto"/>
      </w:divBdr>
    </w:div>
    <w:div w:id="1581058667">
      <w:bodyDiv w:val="1"/>
      <w:marLeft w:val="0"/>
      <w:marRight w:val="0"/>
      <w:marTop w:val="0"/>
      <w:marBottom w:val="0"/>
      <w:divBdr>
        <w:top w:val="none" w:sz="0" w:space="0" w:color="auto"/>
        <w:left w:val="none" w:sz="0" w:space="0" w:color="auto"/>
        <w:bottom w:val="none" w:sz="0" w:space="0" w:color="auto"/>
        <w:right w:val="none" w:sz="0" w:space="0" w:color="auto"/>
      </w:divBdr>
    </w:div>
    <w:div w:id="1582980638">
      <w:bodyDiv w:val="1"/>
      <w:marLeft w:val="0"/>
      <w:marRight w:val="0"/>
      <w:marTop w:val="0"/>
      <w:marBottom w:val="0"/>
      <w:divBdr>
        <w:top w:val="none" w:sz="0" w:space="0" w:color="auto"/>
        <w:left w:val="none" w:sz="0" w:space="0" w:color="auto"/>
        <w:bottom w:val="none" w:sz="0" w:space="0" w:color="auto"/>
        <w:right w:val="none" w:sz="0" w:space="0" w:color="auto"/>
      </w:divBdr>
    </w:div>
    <w:div w:id="1584299933">
      <w:bodyDiv w:val="1"/>
      <w:marLeft w:val="0"/>
      <w:marRight w:val="0"/>
      <w:marTop w:val="0"/>
      <w:marBottom w:val="0"/>
      <w:divBdr>
        <w:top w:val="none" w:sz="0" w:space="0" w:color="auto"/>
        <w:left w:val="none" w:sz="0" w:space="0" w:color="auto"/>
        <w:bottom w:val="none" w:sz="0" w:space="0" w:color="auto"/>
        <w:right w:val="none" w:sz="0" w:space="0" w:color="auto"/>
      </w:divBdr>
    </w:div>
    <w:div w:id="1599096739">
      <w:bodyDiv w:val="1"/>
      <w:marLeft w:val="0"/>
      <w:marRight w:val="0"/>
      <w:marTop w:val="0"/>
      <w:marBottom w:val="0"/>
      <w:divBdr>
        <w:top w:val="none" w:sz="0" w:space="0" w:color="auto"/>
        <w:left w:val="none" w:sz="0" w:space="0" w:color="auto"/>
        <w:bottom w:val="none" w:sz="0" w:space="0" w:color="auto"/>
        <w:right w:val="none" w:sz="0" w:space="0" w:color="auto"/>
      </w:divBdr>
    </w:div>
    <w:div w:id="1599214741">
      <w:bodyDiv w:val="1"/>
      <w:marLeft w:val="0"/>
      <w:marRight w:val="0"/>
      <w:marTop w:val="0"/>
      <w:marBottom w:val="0"/>
      <w:divBdr>
        <w:top w:val="none" w:sz="0" w:space="0" w:color="auto"/>
        <w:left w:val="none" w:sz="0" w:space="0" w:color="auto"/>
        <w:bottom w:val="none" w:sz="0" w:space="0" w:color="auto"/>
        <w:right w:val="none" w:sz="0" w:space="0" w:color="auto"/>
      </w:divBdr>
      <w:divsChild>
        <w:div w:id="1312489674">
          <w:marLeft w:val="0"/>
          <w:marRight w:val="0"/>
          <w:marTop w:val="0"/>
          <w:marBottom w:val="0"/>
          <w:divBdr>
            <w:top w:val="none" w:sz="0" w:space="0" w:color="auto"/>
            <w:left w:val="none" w:sz="0" w:space="0" w:color="auto"/>
            <w:bottom w:val="none" w:sz="0" w:space="0" w:color="auto"/>
            <w:right w:val="none" w:sz="0" w:space="0" w:color="auto"/>
          </w:divBdr>
          <w:divsChild>
            <w:div w:id="533733227">
              <w:marLeft w:val="0"/>
              <w:marRight w:val="0"/>
              <w:marTop w:val="0"/>
              <w:marBottom w:val="0"/>
              <w:divBdr>
                <w:top w:val="none" w:sz="0" w:space="0" w:color="auto"/>
                <w:left w:val="none" w:sz="0" w:space="0" w:color="auto"/>
                <w:bottom w:val="none" w:sz="0" w:space="0" w:color="auto"/>
                <w:right w:val="none" w:sz="0" w:space="0" w:color="auto"/>
              </w:divBdr>
              <w:divsChild>
                <w:div w:id="1702435155">
                  <w:marLeft w:val="0"/>
                  <w:marRight w:val="0"/>
                  <w:marTop w:val="0"/>
                  <w:marBottom w:val="0"/>
                  <w:divBdr>
                    <w:top w:val="none" w:sz="0" w:space="0" w:color="auto"/>
                    <w:left w:val="none" w:sz="0" w:space="0" w:color="auto"/>
                    <w:bottom w:val="none" w:sz="0" w:space="0" w:color="auto"/>
                    <w:right w:val="none" w:sz="0" w:space="0" w:color="auto"/>
                  </w:divBdr>
                  <w:divsChild>
                    <w:div w:id="1120874432">
                      <w:marLeft w:val="0"/>
                      <w:marRight w:val="0"/>
                      <w:marTop w:val="0"/>
                      <w:marBottom w:val="0"/>
                      <w:divBdr>
                        <w:top w:val="dotted" w:sz="2" w:space="0" w:color="CCCCCC"/>
                        <w:left w:val="dotted" w:sz="2" w:space="0" w:color="CCCCCC"/>
                        <w:bottom w:val="dotted" w:sz="2" w:space="0" w:color="CCCCCC"/>
                        <w:right w:val="dotted" w:sz="2" w:space="0" w:color="CCCCCC"/>
                      </w:divBdr>
                      <w:divsChild>
                        <w:div w:id="2106029529">
                          <w:marLeft w:val="0"/>
                          <w:marRight w:val="0"/>
                          <w:marTop w:val="0"/>
                          <w:marBottom w:val="207"/>
                          <w:divBdr>
                            <w:top w:val="single" w:sz="4" w:space="5" w:color="EEE3C0"/>
                            <w:left w:val="single" w:sz="4" w:space="5" w:color="EEE3C0"/>
                            <w:bottom w:val="single" w:sz="4" w:space="5" w:color="EEE3C0"/>
                            <w:right w:val="single" w:sz="4" w:space="5" w:color="EEE3C0"/>
                          </w:divBdr>
                          <w:divsChild>
                            <w:div w:id="845245501">
                              <w:marLeft w:val="0"/>
                              <w:marRight w:val="0"/>
                              <w:marTop w:val="0"/>
                              <w:marBottom w:val="0"/>
                              <w:divBdr>
                                <w:top w:val="none" w:sz="0" w:space="0" w:color="auto"/>
                                <w:left w:val="none" w:sz="0" w:space="0" w:color="auto"/>
                                <w:bottom w:val="none" w:sz="0" w:space="0" w:color="auto"/>
                                <w:right w:val="none" w:sz="0" w:space="0" w:color="auto"/>
                              </w:divBdr>
                              <w:divsChild>
                                <w:div w:id="1943412739">
                                  <w:marLeft w:val="0"/>
                                  <w:marRight w:val="0"/>
                                  <w:marTop w:val="0"/>
                                  <w:marBottom w:val="0"/>
                                  <w:divBdr>
                                    <w:top w:val="none" w:sz="0" w:space="0" w:color="auto"/>
                                    <w:left w:val="none" w:sz="0" w:space="0" w:color="auto"/>
                                    <w:bottom w:val="none" w:sz="0" w:space="0" w:color="auto"/>
                                    <w:right w:val="none" w:sz="0" w:space="0" w:color="auto"/>
                                  </w:divBdr>
                                  <w:divsChild>
                                    <w:div w:id="18491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328428">
      <w:bodyDiv w:val="1"/>
      <w:marLeft w:val="0"/>
      <w:marRight w:val="0"/>
      <w:marTop w:val="0"/>
      <w:marBottom w:val="0"/>
      <w:divBdr>
        <w:top w:val="none" w:sz="0" w:space="0" w:color="auto"/>
        <w:left w:val="none" w:sz="0" w:space="0" w:color="auto"/>
        <w:bottom w:val="none" w:sz="0" w:space="0" w:color="auto"/>
        <w:right w:val="none" w:sz="0" w:space="0" w:color="auto"/>
      </w:divBdr>
    </w:div>
    <w:div w:id="1604605359">
      <w:bodyDiv w:val="1"/>
      <w:marLeft w:val="0"/>
      <w:marRight w:val="0"/>
      <w:marTop w:val="0"/>
      <w:marBottom w:val="0"/>
      <w:divBdr>
        <w:top w:val="none" w:sz="0" w:space="0" w:color="auto"/>
        <w:left w:val="none" w:sz="0" w:space="0" w:color="auto"/>
        <w:bottom w:val="none" w:sz="0" w:space="0" w:color="auto"/>
        <w:right w:val="none" w:sz="0" w:space="0" w:color="auto"/>
      </w:divBdr>
    </w:div>
    <w:div w:id="1611010375">
      <w:bodyDiv w:val="1"/>
      <w:marLeft w:val="0"/>
      <w:marRight w:val="0"/>
      <w:marTop w:val="0"/>
      <w:marBottom w:val="0"/>
      <w:divBdr>
        <w:top w:val="none" w:sz="0" w:space="0" w:color="auto"/>
        <w:left w:val="none" w:sz="0" w:space="0" w:color="auto"/>
        <w:bottom w:val="none" w:sz="0" w:space="0" w:color="auto"/>
        <w:right w:val="none" w:sz="0" w:space="0" w:color="auto"/>
      </w:divBdr>
    </w:div>
    <w:div w:id="1621230881">
      <w:bodyDiv w:val="1"/>
      <w:marLeft w:val="0"/>
      <w:marRight w:val="0"/>
      <w:marTop w:val="0"/>
      <w:marBottom w:val="0"/>
      <w:divBdr>
        <w:top w:val="none" w:sz="0" w:space="0" w:color="auto"/>
        <w:left w:val="none" w:sz="0" w:space="0" w:color="auto"/>
        <w:bottom w:val="none" w:sz="0" w:space="0" w:color="auto"/>
        <w:right w:val="none" w:sz="0" w:space="0" w:color="auto"/>
      </w:divBdr>
    </w:div>
    <w:div w:id="1621764840">
      <w:bodyDiv w:val="1"/>
      <w:marLeft w:val="0"/>
      <w:marRight w:val="0"/>
      <w:marTop w:val="0"/>
      <w:marBottom w:val="0"/>
      <w:divBdr>
        <w:top w:val="none" w:sz="0" w:space="0" w:color="auto"/>
        <w:left w:val="none" w:sz="0" w:space="0" w:color="auto"/>
        <w:bottom w:val="none" w:sz="0" w:space="0" w:color="auto"/>
        <w:right w:val="none" w:sz="0" w:space="0" w:color="auto"/>
      </w:divBdr>
    </w:div>
    <w:div w:id="1622414126">
      <w:bodyDiv w:val="1"/>
      <w:marLeft w:val="0"/>
      <w:marRight w:val="0"/>
      <w:marTop w:val="0"/>
      <w:marBottom w:val="0"/>
      <w:divBdr>
        <w:top w:val="none" w:sz="0" w:space="0" w:color="auto"/>
        <w:left w:val="none" w:sz="0" w:space="0" w:color="auto"/>
        <w:bottom w:val="none" w:sz="0" w:space="0" w:color="auto"/>
        <w:right w:val="none" w:sz="0" w:space="0" w:color="auto"/>
      </w:divBdr>
      <w:divsChild>
        <w:div w:id="1844126915">
          <w:marLeft w:val="0"/>
          <w:marRight w:val="0"/>
          <w:marTop w:val="0"/>
          <w:marBottom w:val="0"/>
          <w:divBdr>
            <w:top w:val="none" w:sz="0" w:space="0" w:color="auto"/>
            <w:left w:val="none" w:sz="0" w:space="0" w:color="auto"/>
            <w:bottom w:val="none" w:sz="0" w:space="0" w:color="auto"/>
            <w:right w:val="none" w:sz="0" w:space="0" w:color="auto"/>
          </w:divBdr>
          <w:divsChild>
            <w:div w:id="1354303001">
              <w:marLeft w:val="0"/>
              <w:marRight w:val="0"/>
              <w:marTop w:val="0"/>
              <w:marBottom w:val="0"/>
              <w:divBdr>
                <w:top w:val="none" w:sz="0" w:space="0" w:color="auto"/>
                <w:left w:val="none" w:sz="0" w:space="0" w:color="auto"/>
                <w:bottom w:val="none" w:sz="0" w:space="0" w:color="auto"/>
                <w:right w:val="none" w:sz="0" w:space="0" w:color="auto"/>
              </w:divBdr>
              <w:divsChild>
                <w:div w:id="1767654520">
                  <w:marLeft w:val="0"/>
                  <w:marRight w:val="0"/>
                  <w:marTop w:val="0"/>
                  <w:marBottom w:val="0"/>
                  <w:divBdr>
                    <w:top w:val="none" w:sz="0" w:space="0" w:color="auto"/>
                    <w:left w:val="none" w:sz="0" w:space="0" w:color="auto"/>
                    <w:bottom w:val="none" w:sz="0" w:space="0" w:color="auto"/>
                    <w:right w:val="none" w:sz="0" w:space="0" w:color="auto"/>
                  </w:divBdr>
                  <w:divsChild>
                    <w:div w:id="9196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4078">
      <w:bodyDiv w:val="1"/>
      <w:marLeft w:val="0"/>
      <w:marRight w:val="0"/>
      <w:marTop w:val="0"/>
      <w:marBottom w:val="0"/>
      <w:divBdr>
        <w:top w:val="none" w:sz="0" w:space="0" w:color="auto"/>
        <w:left w:val="none" w:sz="0" w:space="0" w:color="auto"/>
        <w:bottom w:val="none" w:sz="0" w:space="0" w:color="auto"/>
        <w:right w:val="none" w:sz="0" w:space="0" w:color="auto"/>
      </w:divBdr>
    </w:div>
    <w:div w:id="1632980823">
      <w:bodyDiv w:val="1"/>
      <w:marLeft w:val="0"/>
      <w:marRight w:val="0"/>
      <w:marTop w:val="0"/>
      <w:marBottom w:val="0"/>
      <w:divBdr>
        <w:top w:val="none" w:sz="0" w:space="0" w:color="auto"/>
        <w:left w:val="none" w:sz="0" w:space="0" w:color="auto"/>
        <w:bottom w:val="none" w:sz="0" w:space="0" w:color="auto"/>
        <w:right w:val="none" w:sz="0" w:space="0" w:color="auto"/>
      </w:divBdr>
    </w:div>
    <w:div w:id="1633169703">
      <w:bodyDiv w:val="1"/>
      <w:marLeft w:val="0"/>
      <w:marRight w:val="0"/>
      <w:marTop w:val="0"/>
      <w:marBottom w:val="0"/>
      <w:divBdr>
        <w:top w:val="none" w:sz="0" w:space="0" w:color="auto"/>
        <w:left w:val="none" w:sz="0" w:space="0" w:color="auto"/>
        <w:bottom w:val="none" w:sz="0" w:space="0" w:color="auto"/>
        <w:right w:val="none" w:sz="0" w:space="0" w:color="auto"/>
      </w:divBdr>
      <w:divsChild>
        <w:div w:id="778645947">
          <w:marLeft w:val="0"/>
          <w:marRight w:val="0"/>
          <w:marTop w:val="600"/>
          <w:marBottom w:val="600"/>
          <w:divBdr>
            <w:top w:val="none" w:sz="0" w:space="0" w:color="auto"/>
            <w:left w:val="none" w:sz="0" w:space="0" w:color="auto"/>
            <w:bottom w:val="none" w:sz="0" w:space="0" w:color="auto"/>
            <w:right w:val="none" w:sz="0" w:space="0" w:color="auto"/>
          </w:divBdr>
          <w:divsChild>
            <w:div w:id="134565071">
              <w:marLeft w:val="0"/>
              <w:marRight w:val="0"/>
              <w:marTop w:val="600"/>
              <w:marBottom w:val="600"/>
              <w:divBdr>
                <w:top w:val="none" w:sz="0" w:space="0" w:color="auto"/>
                <w:left w:val="none" w:sz="0" w:space="0" w:color="auto"/>
                <w:bottom w:val="none" w:sz="0" w:space="0" w:color="auto"/>
                <w:right w:val="none" w:sz="0" w:space="0" w:color="auto"/>
              </w:divBdr>
              <w:divsChild>
                <w:div w:id="1608001022">
                  <w:marLeft w:val="0"/>
                  <w:marRight w:val="0"/>
                  <w:marTop w:val="600"/>
                  <w:marBottom w:val="600"/>
                  <w:divBdr>
                    <w:top w:val="none" w:sz="0" w:space="0" w:color="auto"/>
                    <w:left w:val="none" w:sz="0" w:space="0" w:color="auto"/>
                    <w:bottom w:val="none" w:sz="0" w:space="0" w:color="auto"/>
                    <w:right w:val="none" w:sz="0" w:space="0" w:color="auto"/>
                  </w:divBdr>
                  <w:divsChild>
                    <w:div w:id="1991714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142863">
      <w:bodyDiv w:val="1"/>
      <w:marLeft w:val="0"/>
      <w:marRight w:val="0"/>
      <w:marTop w:val="0"/>
      <w:marBottom w:val="0"/>
      <w:divBdr>
        <w:top w:val="none" w:sz="0" w:space="0" w:color="auto"/>
        <w:left w:val="none" w:sz="0" w:space="0" w:color="auto"/>
        <w:bottom w:val="none" w:sz="0" w:space="0" w:color="auto"/>
        <w:right w:val="none" w:sz="0" w:space="0" w:color="auto"/>
      </w:divBdr>
    </w:div>
    <w:div w:id="1634871237">
      <w:bodyDiv w:val="1"/>
      <w:marLeft w:val="0"/>
      <w:marRight w:val="0"/>
      <w:marTop w:val="0"/>
      <w:marBottom w:val="0"/>
      <w:divBdr>
        <w:top w:val="none" w:sz="0" w:space="0" w:color="auto"/>
        <w:left w:val="none" w:sz="0" w:space="0" w:color="auto"/>
        <w:bottom w:val="none" w:sz="0" w:space="0" w:color="auto"/>
        <w:right w:val="none" w:sz="0" w:space="0" w:color="auto"/>
      </w:divBdr>
    </w:div>
    <w:div w:id="1641762480">
      <w:bodyDiv w:val="1"/>
      <w:marLeft w:val="0"/>
      <w:marRight w:val="0"/>
      <w:marTop w:val="0"/>
      <w:marBottom w:val="0"/>
      <w:divBdr>
        <w:top w:val="none" w:sz="0" w:space="0" w:color="auto"/>
        <w:left w:val="none" w:sz="0" w:space="0" w:color="auto"/>
        <w:bottom w:val="none" w:sz="0" w:space="0" w:color="auto"/>
        <w:right w:val="none" w:sz="0" w:space="0" w:color="auto"/>
      </w:divBdr>
    </w:div>
    <w:div w:id="1650012663">
      <w:bodyDiv w:val="1"/>
      <w:marLeft w:val="0"/>
      <w:marRight w:val="0"/>
      <w:marTop w:val="0"/>
      <w:marBottom w:val="0"/>
      <w:divBdr>
        <w:top w:val="none" w:sz="0" w:space="0" w:color="auto"/>
        <w:left w:val="none" w:sz="0" w:space="0" w:color="auto"/>
        <w:bottom w:val="none" w:sz="0" w:space="0" w:color="auto"/>
        <w:right w:val="none" w:sz="0" w:space="0" w:color="auto"/>
      </w:divBdr>
    </w:div>
    <w:div w:id="1654874339">
      <w:bodyDiv w:val="1"/>
      <w:marLeft w:val="0"/>
      <w:marRight w:val="0"/>
      <w:marTop w:val="0"/>
      <w:marBottom w:val="0"/>
      <w:divBdr>
        <w:top w:val="none" w:sz="0" w:space="0" w:color="auto"/>
        <w:left w:val="none" w:sz="0" w:space="0" w:color="auto"/>
        <w:bottom w:val="none" w:sz="0" w:space="0" w:color="auto"/>
        <w:right w:val="none" w:sz="0" w:space="0" w:color="auto"/>
      </w:divBdr>
    </w:div>
    <w:div w:id="1657806421">
      <w:bodyDiv w:val="1"/>
      <w:marLeft w:val="0"/>
      <w:marRight w:val="0"/>
      <w:marTop w:val="0"/>
      <w:marBottom w:val="0"/>
      <w:divBdr>
        <w:top w:val="none" w:sz="0" w:space="0" w:color="auto"/>
        <w:left w:val="none" w:sz="0" w:space="0" w:color="auto"/>
        <w:bottom w:val="none" w:sz="0" w:space="0" w:color="auto"/>
        <w:right w:val="none" w:sz="0" w:space="0" w:color="auto"/>
      </w:divBdr>
    </w:div>
    <w:div w:id="1658262377">
      <w:bodyDiv w:val="1"/>
      <w:marLeft w:val="0"/>
      <w:marRight w:val="0"/>
      <w:marTop w:val="0"/>
      <w:marBottom w:val="0"/>
      <w:divBdr>
        <w:top w:val="none" w:sz="0" w:space="0" w:color="auto"/>
        <w:left w:val="none" w:sz="0" w:space="0" w:color="auto"/>
        <w:bottom w:val="none" w:sz="0" w:space="0" w:color="auto"/>
        <w:right w:val="none" w:sz="0" w:space="0" w:color="auto"/>
      </w:divBdr>
    </w:div>
    <w:div w:id="1659917314">
      <w:bodyDiv w:val="1"/>
      <w:marLeft w:val="0"/>
      <w:marRight w:val="0"/>
      <w:marTop w:val="0"/>
      <w:marBottom w:val="0"/>
      <w:divBdr>
        <w:top w:val="none" w:sz="0" w:space="0" w:color="auto"/>
        <w:left w:val="none" w:sz="0" w:space="0" w:color="auto"/>
        <w:bottom w:val="none" w:sz="0" w:space="0" w:color="auto"/>
        <w:right w:val="none" w:sz="0" w:space="0" w:color="auto"/>
      </w:divBdr>
    </w:div>
    <w:div w:id="1662126044">
      <w:bodyDiv w:val="1"/>
      <w:marLeft w:val="0"/>
      <w:marRight w:val="0"/>
      <w:marTop w:val="0"/>
      <w:marBottom w:val="0"/>
      <w:divBdr>
        <w:top w:val="none" w:sz="0" w:space="0" w:color="auto"/>
        <w:left w:val="none" w:sz="0" w:space="0" w:color="auto"/>
        <w:bottom w:val="none" w:sz="0" w:space="0" w:color="auto"/>
        <w:right w:val="none" w:sz="0" w:space="0" w:color="auto"/>
      </w:divBdr>
    </w:div>
    <w:div w:id="1678774790">
      <w:bodyDiv w:val="1"/>
      <w:marLeft w:val="0"/>
      <w:marRight w:val="0"/>
      <w:marTop w:val="0"/>
      <w:marBottom w:val="0"/>
      <w:divBdr>
        <w:top w:val="none" w:sz="0" w:space="0" w:color="auto"/>
        <w:left w:val="none" w:sz="0" w:space="0" w:color="auto"/>
        <w:bottom w:val="none" w:sz="0" w:space="0" w:color="auto"/>
        <w:right w:val="none" w:sz="0" w:space="0" w:color="auto"/>
      </w:divBdr>
    </w:div>
    <w:div w:id="1690177369">
      <w:bodyDiv w:val="1"/>
      <w:marLeft w:val="0"/>
      <w:marRight w:val="0"/>
      <w:marTop w:val="0"/>
      <w:marBottom w:val="0"/>
      <w:divBdr>
        <w:top w:val="none" w:sz="0" w:space="0" w:color="auto"/>
        <w:left w:val="none" w:sz="0" w:space="0" w:color="auto"/>
        <w:bottom w:val="none" w:sz="0" w:space="0" w:color="auto"/>
        <w:right w:val="none" w:sz="0" w:space="0" w:color="auto"/>
      </w:divBdr>
    </w:div>
    <w:div w:id="1690525312">
      <w:bodyDiv w:val="1"/>
      <w:marLeft w:val="0"/>
      <w:marRight w:val="0"/>
      <w:marTop w:val="0"/>
      <w:marBottom w:val="0"/>
      <w:divBdr>
        <w:top w:val="none" w:sz="0" w:space="0" w:color="auto"/>
        <w:left w:val="none" w:sz="0" w:space="0" w:color="auto"/>
        <w:bottom w:val="none" w:sz="0" w:space="0" w:color="auto"/>
        <w:right w:val="none" w:sz="0" w:space="0" w:color="auto"/>
      </w:divBdr>
    </w:div>
    <w:div w:id="1697808369">
      <w:bodyDiv w:val="1"/>
      <w:marLeft w:val="0"/>
      <w:marRight w:val="0"/>
      <w:marTop w:val="0"/>
      <w:marBottom w:val="0"/>
      <w:divBdr>
        <w:top w:val="none" w:sz="0" w:space="0" w:color="auto"/>
        <w:left w:val="none" w:sz="0" w:space="0" w:color="auto"/>
        <w:bottom w:val="none" w:sz="0" w:space="0" w:color="auto"/>
        <w:right w:val="none" w:sz="0" w:space="0" w:color="auto"/>
      </w:divBdr>
    </w:div>
    <w:div w:id="1710452496">
      <w:bodyDiv w:val="1"/>
      <w:marLeft w:val="0"/>
      <w:marRight w:val="0"/>
      <w:marTop w:val="0"/>
      <w:marBottom w:val="0"/>
      <w:divBdr>
        <w:top w:val="none" w:sz="0" w:space="0" w:color="auto"/>
        <w:left w:val="none" w:sz="0" w:space="0" w:color="auto"/>
        <w:bottom w:val="none" w:sz="0" w:space="0" w:color="auto"/>
        <w:right w:val="none" w:sz="0" w:space="0" w:color="auto"/>
      </w:divBdr>
    </w:div>
    <w:div w:id="1713650483">
      <w:bodyDiv w:val="1"/>
      <w:marLeft w:val="0"/>
      <w:marRight w:val="0"/>
      <w:marTop w:val="0"/>
      <w:marBottom w:val="0"/>
      <w:divBdr>
        <w:top w:val="none" w:sz="0" w:space="0" w:color="auto"/>
        <w:left w:val="none" w:sz="0" w:space="0" w:color="auto"/>
        <w:bottom w:val="none" w:sz="0" w:space="0" w:color="auto"/>
        <w:right w:val="none" w:sz="0" w:space="0" w:color="auto"/>
      </w:divBdr>
    </w:div>
    <w:div w:id="1719470578">
      <w:bodyDiv w:val="1"/>
      <w:marLeft w:val="0"/>
      <w:marRight w:val="0"/>
      <w:marTop w:val="0"/>
      <w:marBottom w:val="0"/>
      <w:divBdr>
        <w:top w:val="none" w:sz="0" w:space="0" w:color="auto"/>
        <w:left w:val="none" w:sz="0" w:space="0" w:color="auto"/>
        <w:bottom w:val="none" w:sz="0" w:space="0" w:color="auto"/>
        <w:right w:val="none" w:sz="0" w:space="0" w:color="auto"/>
      </w:divBdr>
    </w:div>
    <w:div w:id="1720199627">
      <w:bodyDiv w:val="1"/>
      <w:marLeft w:val="0"/>
      <w:marRight w:val="0"/>
      <w:marTop w:val="0"/>
      <w:marBottom w:val="0"/>
      <w:divBdr>
        <w:top w:val="none" w:sz="0" w:space="0" w:color="auto"/>
        <w:left w:val="none" w:sz="0" w:space="0" w:color="auto"/>
        <w:bottom w:val="none" w:sz="0" w:space="0" w:color="auto"/>
        <w:right w:val="none" w:sz="0" w:space="0" w:color="auto"/>
      </w:divBdr>
    </w:div>
    <w:div w:id="1741440529">
      <w:bodyDiv w:val="1"/>
      <w:marLeft w:val="0"/>
      <w:marRight w:val="0"/>
      <w:marTop w:val="0"/>
      <w:marBottom w:val="0"/>
      <w:divBdr>
        <w:top w:val="none" w:sz="0" w:space="0" w:color="auto"/>
        <w:left w:val="none" w:sz="0" w:space="0" w:color="auto"/>
        <w:bottom w:val="none" w:sz="0" w:space="0" w:color="auto"/>
        <w:right w:val="none" w:sz="0" w:space="0" w:color="auto"/>
      </w:divBdr>
    </w:div>
    <w:div w:id="1752853375">
      <w:bodyDiv w:val="1"/>
      <w:marLeft w:val="0"/>
      <w:marRight w:val="0"/>
      <w:marTop w:val="0"/>
      <w:marBottom w:val="0"/>
      <w:divBdr>
        <w:top w:val="none" w:sz="0" w:space="0" w:color="auto"/>
        <w:left w:val="none" w:sz="0" w:space="0" w:color="auto"/>
        <w:bottom w:val="none" w:sz="0" w:space="0" w:color="auto"/>
        <w:right w:val="none" w:sz="0" w:space="0" w:color="auto"/>
      </w:divBdr>
    </w:div>
    <w:div w:id="1757940606">
      <w:bodyDiv w:val="1"/>
      <w:marLeft w:val="0"/>
      <w:marRight w:val="0"/>
      <w:marTop w:val="0"/>
      <w:marBottom w:val="0"/>
      <w:divBdr>
        <w:top w:val="none" w:sz="0" w:space="0" w:color="auto"/>
        <w:left w:val="none" w:sz="0" w:space="0" w:color="auto"/>
        <w:bottom w:val="none" w:sz="0" w:space="0" w:color="auto"/>
        <w:right w:val="none" w:sz="0" w:space="0" w:color="auto"/>
      </w:divBdr>
    </w:div>
    <w:div w:id="1759253167">
      <w:bodyDiv w:val="1"/>
      <w:marLeft w:val="0"/>
      <w:marRight w:val="0"/>
      <w:marTop w:val="0"/>
      <w:marBottom w:val="0"/>
      <w:divBdr>
        <w:top w:val="none" w:sz="0" w:space="0" w:color="auto"/>
        <w:left w:val="none" w:sz="0" w:space="0" w:color="auto"/>
        <w:bottom w:val="none" w:sz="0" w:space="0" w:color="auto"/>
        <w:right w:val="none" w:sz="0" w:space="0" w:color="auto"/>
      </w:divBdr>
    </w:div>
    <w:div w:id="1762067970">
      <w:bodyDiv w:val="1"/>
      <w:marLeft w:val="0"/>
      <w:marRight w:val="0"/>
      <w:marTop w:val="0"/>
      <w:marBottom w:val="0"/>
      <w:divBdr>
        <w:top w:val="none" w:sz="0" w:space="0" w:color="auto"/>
        <w:left w:val="none" w:sz="0" w:space="0" w:color="auto"/>
        <w:bottom w:val="none" w:sz="0" w:space="0" w:color="auto"/>
        <w:right w:val="none" w:sz="0" w:space="0" w:color="auto"/>
      </w:divBdr>
    </w:div>
    <w:div w:id="1789860065">
      <w:bodyDiv w:val="1"/>
      <w:marLeft w:val="0"/>
      <w:marRight w:val="0"/>
      <w:marTop w:val="0"/>
      <w:marBottom w:val="0"/>
      <w:divBdr>
        <w:top w:val="none" w:sz="0" w:space="0" w:color="auto"/>
        <w:left w:val="none" w:sz="0" w:space="0" w:color="auto"/>
        <w:bottom w:val="none" w:sz="0" w:space="0" w:color="auto"/>
        <w:right w:val="none" w:sz="0" w:space="0" w:color="auto"/>
      </w:divBdr>
      <w:divsChild>
        <w:div w:id="442387025">
          <w:marLeft w:val="720"/>
          <w:marRight w:val="0"/>
          <w:marTop w:val="0"/>
          <w:marBottom w:val="0"/>
          <w:divBdr>
            <w:top w:val="none" w:sz="0" w:space="0" w:color="auto"/>
            <w:left w:val="none" w:sz="0" w:space="0" w:color="auto"/>
            <w:bottom w:val="none" w:sz="0" w:space="0" w:color="auto"/>
            <w:right w:val="none" w:sz="0" w:space="0" w:color="auto"/>
          </w:divBdr>
        </w:div>
        <w:div w:id="458114230">
          <w:marLeft w:val="720"/>
          <w:marRight w:val="0"/>
          <w:marTop w:val="0"/>
          <w:marBottom w:val="0"/>
          <w:divBdr>
            <w:top w:val="none" w:sz="0" w:space="0" w:color="auto"/>
            <w:left w:val="none" w:sz="0" w:space="0" w:color="auto"/>
            <w:bottom w:val="none" w:sz="0" w:space="0" w:color="auto"/>
            <w:right w:val="none" w:sz="0" w:space="0" w:color="auto"/>
          </w:divBdr>
        </w:div>
        <w:div w:id="486631076">
          <w:marLeft w:val="720"/>
          <w:marRight w:val="0"/>
          <w:marTop w:val="0"/>
          <w:marBottom w:val="0"/>
          <w:divBdr>
            <w:top w:val="none" w:sz="0" w:space="0" w:color="auto"/>
            <w:left w:val="none" w:sz="0" w:space="0" w:color="auto"/>
            <w:bottom w:val="none" w:sz="0" w:space="0" w:color="auto"/>
            <w:right w:val="none" w:sz="0" w:space="0" w:color="auto"/>
          </w:divBdr>
        </w:div>
        <w:div w:id="629555471">
          <w:marLeft w:val="720"/>
          <w:marRight w:val="0"/>
          <w:marTop w:val="0"/>
          <w:marBottom w:val="0"/>
          <w:divBdr>
            <w:top w:val="none" w:sz="0" w:space="0" w:color="auto"/>
            <w:left w:val="none" w:sz="0" w:space="0" w:color="auto"/>
            <w:bottom w:val="none" w:sz="0" w:space="0" w:color="auto"/>
            <w:right w:val="none" w:sz="0" w:space="0" w:color="auto"/>
          </w:divBdr>
        </w:div>
        <w:div w:id="1349333685">
          <w:marLeft w:val="720"/>
          <w:marRight w:val="0"/>
          <w:marTop w:val="0"/>
          <w:marBottom w:val="0"/>
          <w:divBdr>
            <w:top w:val="none" w:sz="0" w:space="0" w:color="auto"/>
            <w:left w:val="none" w:sz="0" w:space="0" w:color="auto"/>
            <w:bottom w:val="none" w:sz="0" w:space="0" w:color="auto"/>
            <w:right w:val="none" w:sz="0" w:space="0" w:color="auto"/>
          </w:divBdr>
        </w:div>
        <w:div w:id="1399009628">
          <w:marLeft w:val="720"/>
          <w:marRight w:val="0"/>
          <w:marTop w:val="0"/>
          <w:marBottom w:val="0"/>
          <w:divBdr>
            <w:top w:val="none" w:sz="0" w:space="0" w:color="auto"/>
            <w:left w:val="none" w:sz="0" w:space="0" w:color="auto"/>
            <w:bottom w:val="none" w:sz="0" w:space="0" w:color="auto"/>
            <w:right w:val="none" w:sz="0" w:space="0" w:color="auto"/>
          </w:divBdr>
        </w:div>
        <w:div w:id="1528326170">
          <w:marLeft w:val="720"/>
          <w:marRight w:val="0"/>
          <w:marTop w:val="0"/>
          <w:marBottom w:val="0"/>
          <w:divBdr>
            <w:top w:val="none" w:sz="0" w:space="0" w:color="auto"/>
            <w:left w:val="none" w:sz="0" w:space="0" w:color="auto"/>
            <w:bottom w:val="none" w:sz="0" w:space="0" w:color="auto"/>
            <w:right w:val="none" w:sz="0" w:space="0" w:color="auto"/>
          </w:divBdr>
        </w:div>
        <w:div w:id="1540892086">
          <w:marLeft w:val="720"/>
          <w:marRight w:val="0"/>
          <w:marTop w:val="0"/>
          <w:marBottom w:val="0"/>
          <w:divBdr>
            <w:top w:val="none" w:sz="0" w:space="0" w:color="auto"/>
            <w:left w:val="none" w:sz="0" w:space="0" w:color="auto"/>
            <w:bottom w:val="none" w:sz="0" w:space="0" w:color="auto"/>
            <w:right w:val="none" w:sz="0" w:space="0" w:color="auto"/>
          </w:divBdr>
        </w:div>
        <w:div w:id="2050765359">
          <w:marLeft w:val="720"/>
          <w:marRight w:val="0"/>
          <w:marTop w:val="0"/>
          <w:marBottom w:val="0"/>
          <w:divBdr>
            <w:top w:val="none" w:sz="0" w:space="0" w:color="auto"/>
            <w:left w:val="none" w:sz="0" w:space="0" w:color="auto"/>
            <w:bottom w:val="none" w:sz="0" w:space="0" w:color="auto"/>
            <w:right w:val="none" w:sz="0" w:space="0" w:color="auto"/>
          </w:divBdr>
        </w:div>
      </w:divsChild>
    </w:div>
    <w:div w:id="1798376351">
      <w:bodyDiv w:val="1"/>
      <w:marLeft w:val="0"/>
      <w:marRight w:val="0"/>
      <w:marTop w:val="0"/>
      <w:marBottom w:val="0"/>
      <w:divBdr>
        <w:top w:val="none" w:sz="0" w:space="0" w:color="auto"/>
        <w:left w:val="none" w:sz="0" w:space="0" w:color="auto"/>
        <w:bottom w:val="none" w:sz="0" w:space="0" w:color="auto"/>
        <w:right w:val="none" w:sz="0" w:space="0" w:color="auto"/>
      </w:divBdr>
    </w:div>
    <w:div w:id="1800801918">
      <w:bodyDiv w:val="1"/>
      <w:marLeft w:val="0"/>
      <w:marRight w:val="0"/>
      <w:marTop w:val="0"/>
      <w:marBottom w:val="0"/>
      <w:divBdr>
        <w:top w:val="none" w:sz="0" w:space="0" w:color="auto"/>
        <w:left w:val="none" w:sz="0" w:space="0" w:color="auto"/>
        <w:bottom w:val="none" w:sz="0" w:space="0" w:color="auto"/>
        <w:right w:val="none" w:sz="0" w:space="0" w:color="auto"/>
      </w:divBdr>
    </w:div>
    <w:div w:id="1808862946">
      <w:bodyDiv w:val="1"/>
      <w:marLeft w:val="0"/>
      <w:marRight w:val="0"/>
      <w:marTop w:val="0"/>
      <w:marBottom w:val="0"/>
      <w:divBdr>
        <w:top w:val="none" w:sz="0" w:space="0" w:color="auto"/>
        <w:left w:val="none" w:sz="0" w:space="0" w:color="auto"/>
        <w:bottom w:val="none" w:sz="0" w:space="0" w:color="auto"/>
        <w:right w:val="none" w:sz="0" w:space="0" w:color="auto"/>
      </w:divBdr>
      <w:divsChild>
        <w:div w:id="1509368767">
          <w:marLeft w:val="0"/>
          <w:marRight w:val="0"/>
          <w:marTop w:val="0"/>
          <w:marBottom w:val="0"/>
          <w:divBdr>
            <w:top w:val="none" w:sz="0" w:space="0" w:color="auto"/>
            <w:left w:val="none" w:sz="0" w:space="0" w:color="auto"/>
            <w:bottom w:val="none" w:sz="0" w:space="0" w:color="auto"/>
            <w:right w:val="none" w:sz="0" w:space="0" w:color="auto"/>
          </w:divBdr>
          <w:divsChild>
            <w:div w:id="887838775">
              <w:marLeft w:val="0"/>
              <w:marRight w:val="0"/>
              <w:marTop w:val="0"/>
              <w:marBottom w:val="0"/>
              <w:divBdr>
                <w:top w:val="none" w:sz="0" w:space="0" w:color="auto"/>
                <w:left w:val="none" w:sz="0" w:space="0" w:color="auto"/>
                <w:bottom w:val="none" w:sz="0" w:space="0" w:color="auto"/>
                <w:right w:val="none" w:sz="0" w:space="0" w:color="auto"/>
              </w:divBdr>
              <w:divsChild>
                <w:div w:id="513421093">
                  <w:marLeft w:val="0"/>
                  <w:marRight w:val="0"/>
                  <w:marTop w:val="0"/>
                  <w:marBottom w:val="0"/>
                  <w:divBdr>
                    <w:top w:val="none" w:sz="0" w:space="0" w:color="auto"/>
                    <w:left w:val="none" w:sz="0" w:space="0" w:color="auto"/>
                    <w:bottom w:val="none" w:sz="0" w:space="0" w:color="auto"/>
                    <w:right w:val="none" w:sz="0" w:space="0" w:color="auto"/>
                  </w:divBdr>
                  <w:divsChild>
                    <w:div w:id="58526894">
                      <w:marLeft w:val="0"/>
                      <w:marRight w:val="0"/>
                      <w:marTop w:val="0"/>
                      <w:marBottom w:val="0"/>
                      <w:divBdr>
                        <w:top w:val="none" w:sz="0" w:space="0" w:color="auto"/>
                        <w:left w:val="none" w:sz="0" w:space="0" w:color="auto"/>
                        <w:bottom w:val="none" w:sz="0" w:space="0" w:color="auto"/>
                        <w:right w:val="none" w:sz="0" w:space="0" w:color="auto"/>
                      </w:divBdr>
                    </w:div>
                    <w:div w:id="64883130">
                      <w:marLeft w:val="0"/>
                      <w:marRight w:val="0"/>
                      <w:marTop w:val="0"/>
                      <w:marBottom w:val="0"/>
                      <w:divBdr>
                        <w:top w:val="none" w:sz="0" w:space="0" w:color="auto"/>
                        <w:left w:val="none" w:sz="0" w:space="0" w:color="auto"/>
                        <w:bottom w:val="none" w:sz="0" w:space="0" w:color="auto"/>
                        <w:right w:val="none" w:sz="0" w:space="0" w:color="auto"/>
                      </w:divBdr>
                    </w:div>
                    <w:div w:id="96946903">
                      <w:marLeft w:val="0"/>
                      <w:marRight w:val="0"/>
                      <w:marTop w:val="0"/>
                      <w:marBottom w:val="0"/>
                      <w:divBdr>
                        <w:top w:val="none" w:sz="0" w:space="0" w:color="auto"/>
                        <w:left w:val="none" w:sz="0" w:space="0" w:color="auto"/>
                        <w:bottom w:val="none" w:sz="0" w:space="0" w:color="auto"/>
                        <w:right w:val="none" w:sz="0" w:space="0" w:color="auto"/>
                      </w:divBdr>
                    </w:div>
                    <w:div w:id="162282526">
                      <w:marLeft w:val="0"/>
                      <w:marRight w:val="0"/>
                      <w:marTop w:val="0"/>
                      <w:marBottom w:val="0"/>
                      <w:divBdr>
                        <w:top w:val="none" w:sz="0" w:space="0" w:color="auto"/>
                        <w:left w:val="none" w:sz="0" w:space="0" w:color="auto"/>
                        <w:bottom w:val="none" w:sz="0" w:space="0" w:color="auto"/>
                        <w:right w:val="none" w:sz="0" w:space="0" w:color="auto"/>
                      </w:divBdr>
                    </w:div>
                    <w:div w:id="232279413">
                      <w:marLeft w:val="0"/>
                      <w:marRight w:val="0"/>
                      <w:marTop w:val="0"/>
                      <w:marBottom w:val="0"/>
                      <w:divBdr>
                        <w:top w:val="none" w:sz="0" w:space="0" w:color="auto"/>
                        <w:left w:val="none" w:sz="0" w:space="0" w:color="auto"/>
                        <w:bottom w:val="none" w:sz="0" w:space="0" w:color="auto"/>
                        <w:right w:val="none" w:sz="0" w:space="0" w:color="auto"/>
                      </w:divBdr>
                    </w:div>
                    <w:div w:id="466557267">
                      <w:marLeft w:val="0"/>
                      <w:marRight w:val="0"/>
                      <w:marTop w:val="0"/>
                      <w:marBottom w:val="0"/>
                      <w:divBdr>
                        <w:top w:val="none" w:sz="0" w:space="0" w:color="auto"/>
                        <w:left w:val="none" w:sz="0" w:space="0" w:color="auto"/>
                        <w:bottom w:val="none" w:sz="0" w:space="0" w:color="auto"/>
                        <w:right w:val="none" w:sz="0" w:space="0" w:color="auto"/>
                      </w:divBdr>
                    </w:div>
                    <w:div w:id="542210016">
                      <w:marLeft w:val="0"/>
                      <w:marRight w:val="0"/>
                      <w:marTop w:val="0"/>
                      <w:marBottom w:val="0"/>
                      <w:divBdr>
                        <w:top w:val="none" w:sz="0" w:space="0" w:color="auto"/>
                        <w:left w:val="none" w:sz="0" w:space="0" w:color="auto"/>
                        <w:bottom w:val="none" w:sz="0" w:space="0" w:color="auto"/>
                        <w:right w:val="none" w:sz="0" w:space="0" w:color="auto"/>
                      </w:divBdr>
                    </w:div>
                    <w:div w:id="623511295">
                      <w:marLeft w:val="0"/>
                      <w:marRight w:val="0"/>
                      <w:marTop w:val="0"/>
                      <w:marBottom w:val="0"/>
                      <w:divBdr>
                        <w:top w:val="none" w:sz="0" w:space="0" w:color="auto"/>
                        <w:left w:val="none" w:sz="0" w:space="0" w:color="auto"/>
                        <w:bottom w:val="none" w:sz="0" w:space="0" w:color="auto"/>
                        <w:right w:val="none" w:sz="0" w:space="0" w:color="auto"/>
                      </w:divBdr>
                    </w:div>
                    <w:div w:id="656112800">
                      <w:marLeft w:val="0"/>
                      <w:marRight w:val="0"/>
                      <w:marTop w:val="0"/>
                      <w:marBottom w:val="0"/>
                      <w:divBdr>
                        <w:top w:val="none" w:sz="0" w:space="0" w:color="auto"/>
                        <w:left w:val="none" w:sz="0" w:space="0" w:color="auto"/>
                        <w:bottom w:val="none" w:sz="0" w:space="0" w:color="auto"/>
                        <w:right w:val="none" w:sz="0" w:space="0" w:color="auto"/>
                      </w:divBdr>
                    </w:div>
                    <w:div w:id="801071300">
                      <w:marLeft w:val="0"/>
                      <w:marRight w:val="0"/>
                      <w:marTop w:val="0"/>
                      <w:marBottom w:val="0"/>
                      <w:divBdr>
                        <w:top w:val="none" w:sz="0" w:space="0" w:color="auto"/>
                        <w:left w:val="none" w:sz="0" w:space="0" w:color="auto"/>
                        <w:bottom w:val="none" w:sz="0" w:space="0" w:color="auto"/>
                        <w:right w:val="none" w:sz="0" w:space="0" w:color="auto"/>
                      </w:divBdr>
                    </w:div>
                    <w:div w:id="804470462">
                      <w:marLeft w:val="0"/>
                      <w:marRight w:val="0"/>
                      <w:marTop w:val="0"/>
                      <w:marBottom w:val="0"/>
                      <w:divBdr>
                        <w:top w:val="none" w:sz="0" w:space="0" w:color="auto"/>
                        <w:left w:val="none" w:sz="0" w:space="0" w:color="auto"/>
                        <w:bottom w:val="none" w:sz="0" w:space="0" w:color="auto"/>
                        <w:right w:val="none" w:sz="0" w:space="0" w:color="auto"/>
                      </w:divBdr>
                    </w:div>
                    <w:div w:id="857812055">
                      <w:marLeft w:val="0"/>
                      <w:marRight w:val="0"/>
                      <w:marTop w:val="0"/>
                      <w:marBottom w:val="0"/>
                      <w:divBdr>
                        <w:top w:val="none" w:sz="0" w:space="0" w:color="auto"/>
                        <w:left w:val="none" w:sz="0" w:space="0" w:color="auto"/>
                        <w:bottom w:val="none" w:sz="0" w:space="0" w:color="auto"/>
                        <w:right w:val="none" w:sz="0" w:space="0" w:color="auto"/>
                      </w:divBdr>
                    </w:div>
                    <w:div w:id="1015765775">
                      <w:marLeft w:val="0"/>
                      <w:marRight w:val="0"/>
                      <w:marTop w:val="0"/>
                      <w:marBottom w:val="0"/>
                      <w:divBdr>
                        <w:top w:val="none" w:sz="0" w:space="0" w:color="auto"/>
                        <w:left w:val="none" w:sz="0" w:space="0" w:color="auto"/>
                        <w:bottom w:val="none" w:sz="0" w:space="0" w:color="auto"/>
                        <w:right w:val="none" w:sz="0" w:space="0" w:color="auto"/>
                      </w:divBdr>
                    </w:div>
                    <w:div w:id="1402869823">
                      <w:marLeft w:val="0"/>
                      <w:marRight w:val="0"/>
                      <w:marTop w:val="0"/>
                      <w:marBottom w:val="0"/>
                      <w:divBdr>
                        <w:top w:val="none" w:sz="0" w:space="0" w:color="auto"/>
                        <w:left w:val="none" w:sz="0" w:space="0" w:color="auto"/>
                        <w:bottom w:val="none" w:sz="0" w:space="0" w:color="auto"/>
                        <w:right w:val="none" w:sz="0" w:space="0" w:color="auto"/>
                      </w:divBdr>
                    </w:div>
                    <w:div w:id="1552880710">
                      <w:marLeft w:val="0"/>
                      <w:marRight w:val="0"/>
                      <w:marTop w:val="0"/>
                      <w:marBottom w:val="0"/>
                      <w:divBdr>
                        <w:top w:val="none" w:sz="0" w:space="0" w:color="auto"/>
                        <w:left w:val="none" w:sz="0" w:space="0" w:color="auto"/>
                        <w:bottom w:val="none" w:sz="0" w:space="0" w:color="auto"/>
                        <w:right w:val="none" w:sz="0" w:space="0" w:color="auto"/>
                      </w:divBdr>
                    </w:div>
                    <w:div w:id="1598518780">
                      <w:marLeft w:val="0"/>
                      <w:marRight w:val="0"/>
                      <w:marTop w:val="0"/>
                      <w:marBottom w:val="0"/>
                      <w:divBdr>
                        <w:top w:val="none" w:sz="0" w:space="0" w:color="auto"/>
                        <w:left w:val="none" w:sz="0" w:space="0" w:color="auto"/>
                        <w:bottom w:val="none" w:sz="0" w:space="0" w:color="auto"/>
                        <w:right w:val="none" w:sz="0" w:space="0" w:color="auto"/>
                      </w:divBdr>
                    </w:div>
                    <w:div w:id="1624268242">
                      <w:marLeft w:val="0"/>
                      <w:marRight w:val="0"/>
                      <w:marTop w:val="0"/>
                      <w:marBottom w:val="0"/>
                      <w:divBdr>
                        <w:top w:val="none" w:sz="0" w:space="0" w:color="auto"/>
                        <w:left w:val="none" w:sz="0" w:space="0" w:color="auto"/>
                        <w:bottom w:val="none" w:sz="0" w:space="0" w:color="auto"/>
                        <w:right w:val="none" w:sz="0" w:space="0" w:color="auto"/>
                      </w:divBdr>
                    </w:div>
                    <w:div w:id="1657371333">
                      <w:marLeft w:val="0"/>
                      <w:marRight w:val="0"/>
                      <w:marTop w:val="0"/>
                      <w:marBottom w:val="0"/>
                      <w:divBdr>
                        <w:top w:val="none" w:sz="0" w:space="0" w:color="auto"/>
                        <w:left w:val="none" w:sz="0" w:space="0" w:color="auto"/>
                        <w:bottom w:val="none" w:sz="0" w:space="0" w:color="auto"/>
                        <w:right w:val="none" w:sz="0" w:space="0" w:color="auto"/>
                      </w:divBdr>
                    </w:div>
                    <w:div w:id="1715733468">
                      <w:marLeft w:val="0"/>
                      <w:marRight w:val="0"/>
                      <w:marTop w:val="0"/>
                      <w:marBottom w:val="0"/>
                      <w:divBdr>
                        <w:top w:val="none" w:sz="0" w:space="0" w:color="auto"/>
                        <w:left w:val="none" w:sz="0" w:space="0" w:color="auto"/>
                        <w:bottom w:val="none" w:sz="0" w:space="0" w:color="auto"/>
                        <w:right w:val="none" w:sz="0" w:space="0" w:color="auto"/>
                      </w:divBdr>
                    </w:div>
                    <w:div w:id="1746141663">
                      <w:marLeft w:val="0"/>
                      <w:marRight w:val="0"/>
                      <w:marTop w:val="0"/>
                      <w:marBottom w:val="0"/>
                      <w:divBdr>
                        <w:top w:val="none" w:sz="0" w:space="0" w:color="auto"/>
                        <w:left w:val="none" w:sz="0" w:space="0" w:color="auto"/>
                        <w:bottom w:val="none" w:sz="0" w:space="0" w:color="auto"/>
                        <w:right w:val="none" w:sz="0" w:space="0" w:color="auto"/>
                      </w:divBdr>
                    </w:div>
                    <w:div w:id="1823424916">
                      <w:marLeft w:val="0"/>
                      <w:marRight w:val="0"/>
                      <w:marTop w:val="0"/>
                      <w:marBottom w:val="0"/>
                      <w:divBdr>
                        <w:top w:val="none" w:sz="0" w:space="0" w:color="auto"/>
                        <w:left w:val="none" w:sz="0" w:space="0" w:color="auto"/>
                        <w:bottom w:val="none" w:sz="0" w:space="0" w:color="auto"/>
                        <w:right w:val="none" w:sz="0" w:space="0" w:color="auto"/>
                      </w:divBdr>
                    </w:div>
                    <w:div w:id="1848595386">
                      <w:marLeft w:val="0"/>
                      <w:marRight w:val="0"/>
                      <w:marTop w:val="0"/>
                      <w:marBottom w:val="0"/>
                      <w:divBdr>
                        <w:top w:val="none" w:sz="0" w:space="0" w:color="auto"/>
                        <w:left w:val="none" w:sz="0" w:space="0" w:color="auto"/>
                        <w:bottom w:val="none" w:sz="0" w:space="0" w:color="auto"/>
                        <w:right w:val="none" w:sz="0" w:space="0" w:color="auto"/>
                      </w:divBdr>
                    </w:div>
                    <w:div w:id="18710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3065">
      <w:bodyDiv w:val="1"/>
      <w:marLeft w:val="0"/>
      <w:marRight w:val="0"/>
      <w:marTop w:val="0"/>
      <w:marBottom w:val="0"/>
      <w:divBdr>
        <w:top w:val="none" w:sz="0" w:space="0" w:color="auto"/>
        <w:left w:val="none" w:sz="0" w:space="0" w:color="auto"/>
        <w:bottom w:val="none" w:sz="0" w:space="0" w:color="auto"/>
        <w:right w:val="none" w:sz="0" w:space="0" w:color="auto"/>
      </w:divBdr>
    </w:div>
    <w:div w:id="1814060928">
      <w:bodyDiv w:val="1"/>
      <w:marLeft w:val="0"/>
      <w:marRight w:val="0"/>
      <w:marTop w:val="0"/>
      <w:marBottom w:val="0"/>
      <w:divBdr>
        <w:top w:val="none" w:sz="0" w:space="0" w:color="auto"/>
        <w:left w:val="none" w:sz="0" w:space="0" w:color="auto"/>
        <w:bottom w:val="none" w:sz="0" w:space="0" w:color="auto"/>
        <w:right w:val="none" w:sz="0" w:space="0" w:color="auto"/>
      </w:divBdr>
    </w:div>
    <w:div w:id="1815174978">
      <w:bodyDiv w:val="1"/>
      <w:marLeft w:val="0"/>
      <w:marRight w:val="0"/>
      <w:marTop w:val="0"/>
      <w:marBottom w:val="0"/>
      <w:divBdr>
        <w:top w:val="none" w:sz="0" w:space="0" w:color="auto"/>
        <w:left w:val="none" w:sz="0" w:space="0" w:color="auto"/>
        <w:bottom w:val="none" w:sz="0" w:space="0" w:color="auto"/>
        <w:right w:val="none" w:sz="0" w:space="0" w:color="auto"/>
      </w:divBdr>
    </w:div>
    <w:div w:id="1816801410">
      <w:bodyDiv w:val="1"/>
      <w:marLeft w:val="0"/>
      <w:marRight w:val="0"/>
      <w:marTop w:val="0"/>
      <w:marBottom w:val="0"/>
      <w:divBdr>
        <w:top w:val="none" w:sz="0" w:space="0" w:color="auto"/>
        <w:left w:val="none" w:sz="0" w:space="0" w:color="auto"/>
        <w:bottom w:val="none" w:sz="0" w:space="0" w:color="auto"/>
        <w:right w:val="none" w:sz="0" w:space="0" w:color="auto"/>
      </w:divBdr>
    </w:div>
    <w:div w:id="1817720826">
      <w:bodyDiv w:val="1"/>
      <w:marLeft w:val="0"/>
      <w:marRight w:val="0"/>
      <w:marTop w:val="0"/>
      <w:marBottom w:val="0"/>
      <w:divBdr>
        <w:top w:val="none" w:sz="0" w:space="0" w:color="auto"/>
        <w:left w:val="none" w:sz="0" w:space="0" w:color="auto"/>
        <w:bottom w:val="none" w:sz="0" w:space="0" w:color="auto"/>
        <w:right w:val="none" w:sz="0" w:space="0" w:color="auto"/>
      </w:divBdr>
    </w:div>
    <w:div w:id="1823303464">
      <w:bodyDiv w:val="1"/>
      <w:marLeft w:val="0"/>
      <w:marRight w:val="0"/>
      <w:marTop w:val="0"/>
      <w:marBottom w:val="0"/>
      <w:divBdr>
        <w:top w:val="none" w:sz="0" w:space="0" w:color="auto"/>
        <w:left w:val="none" w:sz="0" w:space="0" w:color="auto"/>
        <w:bottom w:val="none" w:sz="0" w:space="0" w:color="auto"/>
        <w:right w:val="none" w:sz="0" w:space="0" w:color="auto"/>
      </w:divBdr>
    </w:div>
    <w:div w:id="1823541115">
      <w:bodyDiv w:val="1"/>
      <w:marLeft w:val="0"/>
      <w:marRight w:val="0"/>
      <w:marTop w:val="0"/>
      <w:marBottom w:val="0"/>
      <w:divBdr>
        <w:top w:val="none" w:sz="0" w:space="0" w:color="auto"/>
        <w:left w:val="none" w:sz="0" w:space="0" w:color="auto"/>
        <w:bottom w:val="none" w:sz="0" w:space="0" w:color="auto"/>
        <w:right w:val="none" w:sz="0" w:space="0" w:color="auto"/>
      </w:divBdr>
    </w:div>
    <w:div w:id="1823615042">
      <w:bodyDiv w:val="1"/>
      <w:marLeft w:val="0"/>
      <w:marRight w:val="0"/>
      <w:marTop w:val="0"/>
      <w:marBottom w:val="0"/>
      <w:divBdr>
        <w:top w:val="none" w:sz="0" w:space="0" w:color="auto"/>
        <w:left w:val="none" w:sz="0" w:space="0" w:color="auto"/>
        <w:bottom w:val="none" w:sz="0" w:space="0" w:color="auto"/>
        <w:right w:val="none" w:sz="0" w:space="0" w:color="auto"/>
      </w:divBdr>
    </w:div>
    <w:div w:id="1828786252">
      <w:bodyDiv w:val="1"/>
      <w:marLeft w:val="0"/>
      <w:marRight w:val="0"/>
      <w:marTop w:val="0"/>
      <w:marBottom w:val="0"/>
      <w:divBdr>
        <w:top w:val="none" w:sz="0" w:space="0" w:color="auto"/>
        <w:left w:val="none" w:sz="0" w:space="0" w:color="auto"/>
        <w:bottom w:val="none" w:sz="0" w:space="0" w:color="auto"/>
        <w:right w:val="none" w:sz="0" w:space="0" w:color="auto"/>
      </w:divBdr>
      <w:divsChild>
        <w:div w:id="1851723216">
          <w:marLeft w:val="0"/>
          <w:marRight w:val="0"/>
          <w:marTop w:val="0"/>
          <w:marBottom w:val="0"/>
          <w:divBdr>
            <w:top w:val="none" w:sz="0" w:space="0" w:color="auto"/>
            <w:left w:val="none" w:sz="0" w:space="0" w:color="auto"/>
            <w:bottom w:val="none" w:sz="0" w:space="0" w:color="auto"/>
            <w:right w:val="none" w:sz="0" w:space="0" w:color="auto"/>
          </w:divBdr>
          <w:divsChild>
            <w:div w:id="1804884014">
              <w:marLeft w:val="0"/>
              <w:marRight w:val="0"/>
              <w:marTop w:val="0"/>
              <w:marBottom w:val="0"/>
              <w:divBdr>
                <w:top w:val="none" w:sz="0" w:space="0" w:color="auto"/>
                <w:left w:val="none" w:sz="0" w:space="0" w:color="auto"/>
                <w:bottom w:val="none" w:sz="0" w:space="0" w:color="auto"/>
                <w:right w:val="none" w:sz="0" w:space="0" w:color="auto"/>
              </w:divBdr>
              <w:divsChild>
                <w:div w:id="648754309">
                  <w:marLeft w:val="0"/>
                  <w:marRight w:val="0"/>
                  <w:marTop w:val="0"/>
                  <w:marBottom w:val="0"/>
                  <w:divBdr>
                    <w:top w:val="none" w:sz="0" w:space="0" w:color="auto"/>
                    <w:left w:val="none" w:sz="0" w:space="0" w:color="auto"/>
                    <w:bottom w:val="none" w:sz="0" w:space="0" w:color="auto"/>
                    <w:right w:val="none" w:sz="0" w:space="0" w:color="auto"/>
                  </w:divBdr>
                  <w:divsChild>
                    <w:div w:id="204804542">
                      <w:marLeft w:val="0"/>
                      <w:marRight w:val="0"/>
                      <w:marTop w:val="0"/>
                      <w:marBottom w:val="0"/>
                      <w:divBdr>
                        <w:top w:val="none" w:sz="0" w:space="0" w:color="auto"/>
                        <w:left w:val="none" w:sz="0" w:space="0" w:color="auto"/>
                        <w:bottom w:val="none" w:sz="0" w:space="0" w:color="auto"/>
                        <w:right w:val="none" w:sz="0" w:space="0" w:color="auto"/>
                      </w:divBdr>
                      <w:divsChild>
                        <w:div w:id="538319260">
                          <w:marLeft w:val="0"/>
                          <w:marRight w:val="0"/>
                          <w:marTop w:val="0"/>
                          <w:marBottom w:val="420"/>
                          <w:divBdr>
                            <w:top w:val="none" w:sz="0" w:space="0" w:color="auto"/>
                            <w:left w:val="none" w:sz="0" w:space="0" w:color="auto"/>
                            <w:bottom w:val="none" w:sz="0" w:space="0" w:color="auto"/>
                            <w:right w:val="none" w:sz="0" w:space="0" w:color="auto"/>
                          </w:divBdr>
                          <w:divsChild>
                            <w:div w:id="1344209020">
                              <w:marLeft w:val="0"/>
                              <w:marRight w:val="0"/>
                              <w:marTop w:val="0"/>
                              <w:marBottom w:val="0"/>
                              <w:divBdr>
                                <w:top w:val="none" w:sz="0" w:space="0" w:color="auto"/>
                                <w:left w:val="none" w:sz="0" w:space="0" w:color="auto"/>
                                <w:bottom w:val="none" w:sz="0" w:space="0" w:color="auto"/>
                                <w:right w:val="none" w:sz="0" w:space="0" w:color="auto"/>
                              </w:divBdr>
                              <w:divsChild>
                                <w:div w:id="127937945">
                                  <w:marLeft w:val="0"/>
                                  <w:marRight w:val="0"/>
                                  <w:marTop w:val="0"/>
                                  <w:marBottom w:val="420"/>
                                  <w:divBdr>
                                    <w:top w:val="none" w:sz="0" w:space="0" w:color="auto"/>
                                    <w:left w:val="none" w:sz="0" w:space="0" w:color="auto"/>
                                    <w:bottom w:val="none" w:sz="0" w:space="0" w:color="auto"/>
                                    <w:right w:val="none" w:sz="0" w:space="0" w:color="auto"/>
                                  </w:divBdr>
                                  <w:divsChild>
                                    <w:div w:id="205542822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019551">
      <w:bodyDiv w:val="1"/>
      <w:marLeft w:val="0"/>
      <w:marRight w:val="0"/>
      <w:marTop w:val="0"/>
      <w:marBottom w:val="0"/>
      <w:divBdr>
        <w:top w:val="none" w:sz="0" w:space="0" w:color="auto"/>
        <w:left w:val="none" w:sz="0" w:space="0" w:color="auto"/>
        <w:bottom w:val="none" w:sz="0" w:space="0" w:color="auto"/>
        <w:right w:val="none" w:sz="0" w:space="0" w:color="auto"/>
      </w:divBdr>
    </w:div>
    <w:div w:id="1850750829">
      <w:bodyDiv w:val="1"/>
      <w:marLeft w:val="0"/>
      <w:marRight w:val="0"/>
      <w:marTop w:val="0"/>
      <w:marBottom w:val="0"/>
      <w:divBdr>
        <w:top w:val="none" w:sz="0" w:space="0" w:color="auto"/>
        <w:left w:val="none" w:sz="0" w:space="0" w:color="auto"/>
        <w:bottom w:val="none" w:sz="0" w:space="0" w:color="auto"/>
        <w:right w:val="none" w:sz="0" w:space="0" w:color="auto"/>
      </w:divBdr>
    </w:div>
    <w:div w:id="1856575835">
      <w:bodyDiv w:val="1"/>
      <w:marLeft w:val="0"/>
      <w:marRight w:val="0"/>
      <w:marTop w:val="0"/>
      <w:marBottom w:val="0"/>
      <w:divBdr>
        <w:top w:val="none" w:sz="0" w:space="0" w:color="auto"/>
        <w:left w:val="none" w:sz="0" w:space="0" w:color="auto"/>
        <w:bottom w:val="none" w:sz="0" w:space="0" w:color="auto"/>
        <w:right w:val="none" w:sz="0" w:space="0" w:color="auto"/>
      </w:divBdr>
    </w:div>
    <w:div w:id="1859848591">
      <w:bodyDiv w:val="1"/>
      <w:marLeft w:val="0"/>
      <w:marRight w:val="0"/>
      <w:marTop w:val="0"/>
      <w:marBottom w:val="0"/>
      <w:divBdr>
        <w:top w:val="none" w:sz="0" w:space="0" w:color="auto"/>
        <w:left w:val="none" w:sz="0" w:space="0" w:color="auto"/>
        <w:bottom w:val="none" w:sz="0" w:space="0" w:color="auto"/>
        <w:right w:val="none" w:sz="0" w:space="0" w:color="auto"/>
      </w:divBdr>
      <w:divsChild>
        <w:div w:id="1375080061">
          <w:marLeft w:val="0"/>
          <w:marRight w:val="0"/>
          <w:marTop w:val="0"/>
          <w:marBottom w:val="0"/>
          <w:divBdr>
            <w:top w:val="none" w:sz="0" w:space="0" w:color="auto"/>
            <w:left w:val="none" w:sz="0" w:space="0" w:color="auto"/>
            <w:bottom w:val="none" w:sz="0" w:space="0" w:color="auto"/>
            <w:right w:val="none" w:sz="0" w:space="0" w:color="auto"/>
          </w:divBdr>
          <w:divsChild>
            <w:div w:id="1815878013">
              <w:marLeft w:val="0"/>
              <w:marRight w:val="0"/>
              <w:marTop w:val="0"/>
              <w:marBottom w:val="0"/>
              <w:divBdr>
                <w:top w:val="none" w:sz="0" w:space="0" w:color="auto"/>
                <w:left w:val="none" w:sz="0" w:space="0" w:color="auto"/>
                <w:bottom w:val="none" w:sz="0" w:space="0" w:color="auto"/>
                <w:right w:val="none" w:sz="0" w:space="0" w:color="auto"/>
              </w:divBdr>
              <w:divsChild>
                <w:div w:id="223956920">
                  <w:marLeft w:val="0"/>
                  <w:marRight w:val="0"/>
                  <w:marTop w:val="0"/>
                  <w:marBottom w:val="0"/>
                  <w:divBdr>
                    <w:top w:val="none" w:sz="0" w:space="0" w:color="auto"/>
                    <w:left w:val="none" w:sz="0" w:space="0" w:color="auto"/>
                    <w:bottom w:val="none" w:sz="0" w:space="0" w:color="auto"/>
                    <w:right w:val="none" w:sz="0" w:space="0" w:color="auto"/>
                  </w:divBdr>
                  <w:divsChild>
                    <w:div w:id="16259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9266">
      <w:bodyDiv w:val="1"/>
      <w:marLeft w:val="0"/>
      <w:marRight w:val="0"/>
      <w:marTop w:val="0"/>
      <w:marBottom w:val="0"/>
      <w:divBdr>
        <w:top w:val="none" w:sz="0" w:space="0" w:color="auto"/>
        <w:left w:val="none" w:sz="0" w:space="0" w:color="auto"/>
        <w:bottom w:val="none" w:sz="0" w:space="0" w:color="auto"/>
        <w:right w:val="none" w:sz="0" w:space="0" w:color="auto"/>
      </w:divBdr>
    </w:div>
    <w:div w:id="1881932986">
      <w:bodyDiv w:val="1"/>
      <w:marLeft w:val="0"/>
      <w:marRight w:val="0"/>
      <w:marTop w:val="0"/>
      <w:marBottom w:val="0"/>
      <w:divBdr>
        <w:top w:val="none" w:sz="0" w:space="0" w:color="auto"/>
        <w:left w:val="none" w:sz="0" w:space="0" w:color="auto"/>
        <w:bottom w:val="none" w:sz="0" w:space="0" w:color="auto"/>
        <w:right w:val="none" w:sz="0" w:space="0" w:color="auto"/>
      </w:divBdr>
    </w:div>
    <w:div w:id="1882089090">
      <w:bodyDiv w:val="1"/>
      <w:marLeft w:val="0"/>
      <w:marRight w:val="0"/>
      <w:marTop w:val="0"/>
      <w:marBottom w:val="0"/>
      <w:divBdr>
        <w:top w:val="none" w:sz="0" w:space="0" w:color="auto"/>
        <w:left w:val="none" w:sz="0" w:space="0" w:color="auto"/>
        <w:bottom w:val="none" w:sz="0" w:space="0" w:color="auto"/>
        <w:right w:val="none" w:sz="0" w:space="0" w:color="auto"/>
      </w:divBdr>
    </w:div>
    <w:div w:id="1883983405">
      <w:bodyDiv w:val="1"/>
      <w:marLeft w:val="0"/>
      <w:marRight w:val="0"/>
      <w:marTop w:val="0"/>
      <w:marBottom w:val="0"/>
      <w:divBdr>
        <w:top w:val="none" w:sz="0" w:space="0" w:color="auto"/>
        <w:left w:val="none" w:sz="0" w:space="0" w:color="auto"/>
        <w:bottom w:val="none" w:sz="0" w:space="0" w:color="auto"/>
        <w:right w:val="none" w:sz="0" w:space="0" w:color="auto"/>
      </w:divBdr>
    </w:div>
    <w:div w:id="1885437442">
      <w:bodyDiv w:val="1"/>
      <w:marLeft w:val="0"/>
      <w:marRight w:val="0"/>
      <w:marTop w:val="0"/>
      <w:marBottom w:val="0"/>
      <w:divBdr>
        <w:top w:val="none" w:sz="0" w:space="0" w:color="auto"/>
        <w:left w:val="none" w:sz="0" w:space="0" w:color="auto"/>
        <w:bottom w:val="none" w:sz="0" w:space="0" w:color="auto"/>
        <w:right w:val="none" w:sz="0" w:space="0" w:color="auto"/>
      </w:divBdr>
    </w:div>
    <w:div w:id="1886600190">
      <w:bodyDiv w:val="1"/>
      <w:marLeft w:val="0"/>
      <w:marRight w:val="0"/>
      <w:marTop w:val="0"/>
      <w:marBottom w:val="0"/>
      <w:divBdr>
        <w:top w:val="none" w:sz="0" w:space="0" w:color="auto"/>
        <w:left w:val="none" w:sz="0" w:space="0" w:color="auto"/>
        <w:bottom w:val="none" w:sz="0" w:space="0" w:color="auto"/>
        <w:right w:val="none" w:sz="0" w:space="0" w:color="auto"/>
      </w:divBdr>
    </w:div>
    <w:div w:id="1894925809">
      <w:bodyDiv w:val="1"/>
      <w:marLeft w:val="0"/>
      <w:marRight w:val="0"/>
      <w:marTop w:val="0"/>
      <w:marBottom w:val="0"/>
      <w:divBdr>
        <w:top w:val="none" w:sz="0" w:space="0" w:color="auto"/>
        <w:left w:val="none" w:sz="0" w:space="0" w:color="auto"/>
        <w:bottom w:val="none" w:sz="0" w:space="0" w:color="auto"/>
        <w:right w:val="none" w:sz="0" w:space="0" w:color="auto"/>
      </w:divBdr>
    </w:div>
    <w:div w:id="1895382716">
      <w:bodyDiv w:val="1"/>
      <w:marLeft w:val="0"/>
      <w:marRight w:val="0"/>
      <w:marTop w:val="0"/>
      <w:marBottom w:val="0"/>
      <w:divBdr>
        <w:top w:val="none" w:sz="0" w:space="0" w:color="auto"/>
        <w:left w:val="none" w:sz="0" w:space="0" w:color="auto"/>
        <w:bottom w:val="none" w:sz="0" w:space="0" w:color="auto"/>
        <w:right w:val="none" w:sz="0" w:space="0" w:color="auto"/>
      </w:divBdr>
      <w:divsChild>
        <w:div w:id="1573271986">
          <w:marLeft w:val="0"/>
          <w:marRight w:val="0"/>
          <w:marTop w:val="0"/>
          <w:marBottom w:val="0"/>
          <w:divBdr>
            <w:top w:val="none" w:sz="0" w:space="0" w:color="auto"/>
            <w:left w:val="none" w:sz="0" w:space="0" w:color="auto"/>
            <w:bottom w:val="none" w:sz="0" w:space="0" w:color="auto"/>
            <w:right w:val="none" w:sz="0" w:space="0" w:color="auto"/>
          </w:divBdr>
          <w:divsChild>
            <w:div w:id="1416167453">
              <w:marLeft w:val="0"/>
              <w:marRight w:val="0"/>
              <w:marTop w:val="0"/>
              <w:marBottom w:val="0"/>
              <w:divBdr>
                <w:top w:val="none" w:sz="0" w:space="0" w:color="auto"/>
                <w:left w:val="none" w:sz="0" w:space="0" w:color="auto"/>
                <w:bottom w:val="none" w:sz="0" w:space="0" w:color="auto"/>
                <w:right w:val="none" w:sz="0" w:space="0" w:color="auto"/>
              </w:divBdr>
              <w:divsChild>
                <w:div w:id="1324046985">
                  <w:marLeft w:val="0"/>
                  <w:marRight w:val="0"/>
                  <w:marTop w:val="0"/>
                  <w:marBottom w:val="0"/>
                  <w:divBdr>
                    <w:top w:val="none" w:sz="0" w:space="0" w:color="auto"/>
                    <w:left w:val="none" w:sz="0" w:space="0" w:color="auto"/>
                    <w:bottom w:val="none" w:sz="0" w:space="0" w:color="auto"/>
                    <w:right w:val="none" w:sz="0" w:space="0" w:color="auto"/>
                  </w:divBdr>
                  <w:divsChild>
                    <w:div w:id="83646853">
                      <w:marLeft w:val="0"/>
                      <w:marRight w:val="0"/>
                      <w:marTop w:val="0"/>
                      <w:marBottom w:val="0"/>
                      <w:divBdr>
                        <w:top w:val="none" w:sz="0" w:space="0" w:color="auto"/>
                        <w:left w:val="none" w:sz="0" w:space="0" w:color="auto"/>
                        <w:bottom w:val="none" w:sz="0" w:space="0" w:color="auto"/>
                        <w:right w:val="none" w:sz="0" w:space="0" w:color="auto"/>
                      </w:divBdr>
                    </w:div>
                    <w:div w:id="150291127">
                      <w:marLeft w:val="0"/>
                      <w:marRight w:val="0"/>
                      <w:marTop w:val="0"/>
                      <w:marBottom w:val="0"/>
                      <w:divBdr>
                        <w:top w:val="none" w:sz="0" w:space="0" w:color="auto"/>
                        <w:left w:val="none" w:sz="0" w:space="0" w:color="auto"/>
                        <w:bottom w:val="none" w:sz="0" w:space="0" w:color="auto"/>
                        <w:right w:val="none" w:sz="0" w:space="0" w:color="auto"/>
                      </w:divBdr>
                    </w:div>
                    <w:div w:id="262736515">
                      <w:marLeft w:val="0"/>
                      <w:marRight w:val="0"/>
                      <w:marTop w:val="0"/>
                      <w:marBottom w:val="0"/>
                      <w:divBdr>
                        <w:top w:val="none" w:sz="0" w:space="0" w:color="auto"/>
                        <w:left w:val="none" w:sz="0" w:space="0" w:color="auto"/>
                        <w:bottom w:val="none" w:sz="0" w:space="0" w:color="auto"/>
                        <w:right w:val="none" w:sz="0" w:space="0" w:color="auto"/>
                      </w:divBdr>
                    </w:div>
                    <w:div w:id="314380241">
                      <w:marLeft w:val="0"/>
                      <w:marRight w:val="0"/>
                      <w:marTop w:val="0"/>
                      <w:marBottom w:val="0"/>
                      <w:divBdr>
                        <w:top w:val="none" w:sz="0" w:space="0" w:color="auto"/>
                        <w:left w:val="none" w:sz="0" w:space="0" w:color="auto"/>
                        <w:bottom w:val="none" w:sz="0" w:space="0" w:color="auto"/>
                        <w:right w:val="none" w:sz="0" w:space="0" w:color="auto"/>
                      </w:divBdr>
                    </w:div>
                    <w:div w:id="347757200">
                      <w:marLeft w:val="0"/>
                      <w:marRight w:val="0"/>
                      <w:marTop w:val="0"/>
                      <w:marBottom w:val="0"/>
                      <w:divBdr>
                        <w:top w:val="none" w:sz="0" w:space="0" w:color="auto"/>
                        <w:left w:val="none" w:sz="0" w:space="0" w:color="auto"/>
                        <w:bottom w:val="none" w:sz="0" w:space="0" w:color="auto"/>
                        <w:right w:val="none" w:sz="0" w:space="0" w:color="auto"/>
                      </w:divBdr>
                    </w:div>
                    <w:div w:id="569198685">
                      <w:marLeft w:val="0"/>
                      <w:marRight w:val="0"/>
                      <w:marTop w:val="0"/>
                      <w:marBottom w:val="0"/>
                      <w:divBdr>
                        <w:top w:val="none" w:sz="0" w:space="0" w:color="auto"/>
                        <w:left w:val="none" w:sz="0" w:space="0" w:color="auto"/>
                        <w:bottom w:val="none" w:sz="0" w:space="0" w:color="auto"/>
                        <w:right w:val="none" w:sz="0" w:space="0" w:color="auto"/>
                      </w:divBdr>
                    </w:div>
                    <w:div w:id="855771778">
                      <w:marLeft w:val="0"/>
                      <w:marRight w:val="0"/>
                      <w:marTop w:val="0"/>
                      <w:marBottom w:val="0"/>
                      <w:divBdr>
                        <w:top w:val="none" w:sz="0" w:space="0" w:color="auto"/>
                        <w:left w:val="none" w:sz="0" w:space="0" w:color="auto"/>
                        <w:bottom w:val="none" w:sz="0" w:space="0" w:color="auto"/>
                        <w:right w:val="none" w:sz="0" w:space="0" w:color="auto"/>
                      </w:divBdr>
                    </w:div>
                    <w:div w:id="1025862556">
                      <w:marLeft w:val="0"/>
                      <w:marRight w:val="0"/>
                      <w:marTop w:val="0"/>
                      <w:marBottom w:val="0"/>
                      <w:divBdr>
                        <w:top w:val="none" w:sz="0" w:space="0" w:color="auto"/>
                        <w:left w:val="none" w:sz="0" w:space="0" w:color="auto"/>
                        <w:bottom w:val="none" w:sz="0" w:space="0" w:color="auto"/>
                        <w:right w:val="none" w:sz="0" w:space="0" w:color="auto"/>
                      </w:divBdr>
                    </w:div>
                    <w:div w:id="1037117979">
                      <w:marLeft w:val="0"/>
                      <w:marRight w:val="0"/>
                      <w:marTop w:val="0"/>
                      <w:marBottom w:val="0"/>
                      <w:divBdr>
                        <w:top w:val="none" w:sz="0" w:space="0" w:color="auto"/>
                        <w:left w:val="none" w:sz="0" w:space="0" w:color="auto"/>
                        <w:bottom w:val="none" w:sz="0" w:space="0" w:color="auto"/>
                        <w:right w:val="none" w:sz="0" w:space="0" w:color="auto"/>
                      </w:divBdr>
                    </w:div>
                    <w:div w:id="1041133551">
                      <w:marLeft w:val="0"/>
                      <w:marRight w:val="0"/>
                      <w:marTop w:val="0"/>
                      <w:marBottom w:val="0"/>
                      <w:divBdr>
                        <w:top w:val="none" w:sz="0" w:space="0" w:color="auto"/>
                        <w:left w:val="none" w:sz="0" w:space="0" w:color="auto"/>
                        <w:bottom w:val="none" w:sz="0" w:space="0" w:color="auto"/>
                        <w:right w:val="none" w:sz="0" w:space="0" w:color="auto"/>
                      </w:divBdr>
                    </w:div>
                    <w:div w:id="1096556250">
                      <w:marLeft w:val="0"/>
                      <w:marRight w:val="0"/>
                      <w:marTop w:val="0"/>
                      <w:marBottom w:val="0"/>
                      <w:divBdr>
                        <w:top w:val="none" w:sz="0" w:space="0" w:color="auto"/>
                        <w:left w:val="none" w:sz="0" w:space="0" w:color="auto"/>
                        <w:bottom w:val="none" w:sz="0" w:space="0" w:color="auto"/>
                        <w:right w:val="none" w:sz="0" w:space="0" w:color="auto"/>
                      </w:divBdr>
                    </w:div>
                    <w:div w:id="1217669907">
                      <w:marLeft w:val="0"/>
                      <w:marRight w:val="0"/>
                      <w:marTop w:val="0"/>
                      <w:marBottom w:val="0"/>
                      <w:divBdr>
                        <w:top w:val="none" w:sz="0" w:space="0" w:color="auto"/>
                        <w:left w:val="none" w:sz="0" w:space="0" w:color="auto"/>
                        <w:bottom w:val="none" w:sz="0" w:space="0" w:color="auto"/>
                        <w:right w:val="none" w:sz="0" w:space="0" w:color="auto"/>
                      </w:divBdr>
                    </w:div>
                    <w:div w:id="1274097650">
                      <w:marLeft w:val="0"/>
                      <w:marRight w:val="0"/>
                      <w:marTop w:val="0"/>
                      <w:marBottom w:val="0"/>
                      <w:divBdr>
                        <w:top w:val="none" w:sz="0" w:space="0" w:color="auto"/>
                        <w:left w:val="none" w:sz="0" w:space="0" w:color="auto"/>
                        <w:bottom w:val="none" w:sz="0" w:space="0" w:color="auto"/>
                        <w:right w:val="none" w:sz="0" w:space="0" w:color="auto"/>
                      </w:divBdr>
                    </w:div>
                    <w:div w:id="1341858674">
                      <w:marLeft w:val="0"/>
                      <w:marRight w:val="0"/>
                      <w:marTop w:val="0"/>
                      <w:marBottom w:val="0"/>
                      <w:divBdr>
                        <w:top w:val="none" w:sz="0" w:space="0" w:color="auto"/>
                        <w:left w:val="none" w:sz="0" w:space="0" w:color="auto"/>
                        <w:bottom w:val="none" w:sz="0" w:space="0" w:color="auto"/>
                        <w:right w:val="none" w:sz="0" w:space="0" w:color="auto"/>
                      </w:divBdr>
                    </w:div>
                    <w:div w:id="1364745746">
                      <w:marLeft w:val="0"/>
                      <w:marRight w:val="0"/>
                      <w:marTop w:val="0"/>
                      <w:marBottom w:val="0"/>
                      <w:divBdr>
                        <w:top w:val="none" w:sz="0" w:space="0" w:color="auto"/>
                        <w:left w:val="none" w:sz="0" w:space="0" w:color="auto"/>
                        <w:bottom w:val="none" w:sz="0" w:space="0" w:color="auto"/>
                        <w:right w:val="none" w:sz="0" w:space="0" w:color="auto"/>
                      </w:divBdr>
                    </w:div>
                    <w:div w:id="1526480790">
                      <w:marLeft w:val="0"/>
                      <w:marRight w:val="0"/>
                      <w:marTop w:val="0"/>
                      <w:marBottom w:val="0"/>
                      <w:divBdr>
                        <w:top w:val="none" w:sz="0" w:space="0" w:color="auto"/>
                        <w:left w:val="none" w:sz="0" w:space="0" w:color="auto"/>
                        <w:bottom w:val="none" w:sz="0" w:space="0" w:color="auto"/>
                        <w:right w:val="none" w:sz="0" w:space="0" w:color="auto"/>
                      </w:divBdr>
                    </w:div>
                    <w:div w:id="1677658561">
                      <w:marLeft w:val="0"/>
                      <w:marRight w:val="0"/>
                      <w:marTop w:val="0"/>
                      <w:marBottom w:val="0"/>
                      <w:divBdr>
                        <w:top w:val="none" w:sz="0" w:space="0" w:color="auto"/>
                        <w:left w:val="none" w:sz="0" w:space="0" w:color="auto"/>
                        <w:bottom w:val="none" w:sz="0" w:space="0" w:color="auto"/>
                        <w:right w:val="none" w:sz="0" w:space="0" w:color="auto"/>
                      </w:divBdr>
                    </w:div>
                    <w:div w:id="1748114918">
                      <w:marLeft w:val="0"/>
                      <w:marRight w:val="0"/>
                      <w:marTop w:val="0"/>
                      <w:marBottom w:val="0"/>
                      <w:divBdr>
                        <w:top w:val="none" w:sz="0" w:space="0" w:color="auto"/>
                        <w:left w:val="none" w:sz="0" w:space="0" w:color="auto"/>
                        <w:bottom w:val="none" w:sz="0" w:space="0" w:color="auto"/>
                        <w:right w:val="none" w:sz="0" w:space="0" w:color="auto"/>
                      </w:divBdr>
                    </w:div>
                    <w:div w:id="1805543022">
                      <w:marLeft w:val="0"/>
                      <w:marRight w:val="0"/>
                      <w:marTop w:val="0"/>
                      <w:marBottom w:val="0"/>
                      <w:divBdr>
                        <w:top w:val="none" w:sz="0" w:space="0" w:color="auto"/>
                        <w:left w:val="none" w:sz="0" w:space="0" w:color="auto"/>
                        <w:bottom w:val="none" w:sz="0" w:space="0" w:color="auto"/>
                        <w:right w:val="none" w:sz="0" w:space="0" w:color="auto"/>
                      </w:divBdr>
                    </w:div>
                    <w:div w:id="1870214776">
                      <w:marLeft w:val="0"/>
                      <w:marRight w:val="0"/>
                      <w:marTop w:val="0"/>
                      <w:marBottom w:val="0"/>
                      <w:divBdr>
                        <w:top w:val="none" w:sz="0" w:space="0" w:color="auto"/>
                        <w:left w:val="none" w:sz="0" w:space="0" w:color="auto"/>
                        <w:bottom w:val="none" w:sz="0" w:space="0" w:color="auto"/>
                        <w:right w:val="none" w:sz="0" w:space="0" w:color="auto"/>
                      </w:divBdr>
                    </w:div>
                    <w:div w:id="1876917295">
                      <w:marLeft w:val="0"/>
                      <w:marRight w:val="0"/>
                      <w:marTop w:val="0"/>
                      <w:marBottom w:val="0"/>
                      <w:divBdr>
                        <w:top w:val="none" w:sz="0" w:space="0" w:color="auto"/>
                        <w:left w:val="none" w:sz="0" w:space="0" w:color="auto"/>
                        <w:bottom w:val="none" w:sz="0" w:space="0" w:color="auto"/>
                        <w:right w:val="none" w:sz="0" w:space="0" w:color="auto"/>
                      </w:divBdr>
                    </w:div>
                    <w:div w:id="1970014105">
                      <w:marLeft w:val="0"/>
                      <w:marRight w:val="0"/>
                      <w:marTop w:val="0"/>
                      <w:marBottom w:val="0"/>
                      <w:divBdr>
                        <w:top w:val="none" w:sz="0" w:space="0" w:color="auto"/>
                        <w:left w:val="none" w:sz="0" w:space="0" w:color="auto"/>
                        <w:bottom w:val="none" w:sz="0" w:space="0" w:color="auto"/>
                        <w:right w:val="none" w:sz="0" w:space="0" w:color="auto"/>
                      </w:divBdr>
                    </w:div>
                    <w:div w:id="21462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09600">
      <w:bodyDiv w:val="1"/>
      <w:marLeft w:val="0"/>
      <w:marRight w:val="0"/>
      <w:marTop w:val="0"/>
      <w:marBottom w:val="0"/>
      <w:divBdr>
        <w:top w:val="none" w:sz="0" w:space="0" w:color="auto"/>
        <w:left w:val="none" w:sz="0" w:space="0" w:color="auto"/>
        <w:bottom w:val="none" w:sz="0" w:space="0" w:color="auto"/>
        <w:right w:val="none" w:sz="0" w:space="0" w:color="auto"/>
      </w:divBdr>
    </w:div>
    <w:div w:id="1900701931">
      <w:bodyDiv w:val="1"/>
      <w:marLeft w:val="0"/>
      <w:marRight w:val="0"/>
      <w:marTop w:val="0"/>
      <w:marBottom w:val="0"/>
      <w:divBdr>
        <w:top w:val="none" w:sz="0" w:space="0" w:color="auto"/>
        <w:left w:val="none" w:sz="0" w:space="0" w:color="auto"/>
        <w:bottom w:val="none" w:sz="0" w:space="0" w:color="auto"/>
        <w:right w:val="none" w:sz="0" w:space="0" w:color="auto"/>
      </w:divBdr>
    </w:div>
    <w:div w:id="1903983072">
      <w:bodyDiv w:val="1"/>
      <w:marLeft w:val="0"/>
      <w:marRight w:val="0"/>
      <w:marTop w:val="0"/>
      <w:marBottom w:val="0"/>
      <w:divBdr>
        <w:top w:val="none" w:sz="0" w:space="0" w:color="auto"/>
        <w:left w:val="none" w:sz="0" w:space="0" w:color="auto"/>
        <w:bottom w:val="none" w:sz="0" w:space="0" w:color="auto"/>
        <w:right w:val="none" w:sz="0" w:space="0" w:color="auto"/>
      </w:divBdr>
    </w:div>
    <w:div w:id="1906060693">
      <w:bodyDiv w:val="1"/>
      <w:marLeft w:val="0"/>
      <w:marRight w:val="0"/>
      <w:marTop w:val="0"/>
      <w:marBottom w:val="0"/>
      <w:divBdr>
        <w:top w:val="none" w:sz="0" w:space="0" w:color="auto"/>
        <w:left w:val="none" w:sz="0" w:space="0" w:color="auto"/>
        <w:bottom w:val="none" w:sz="0" w:space="0" w:color="auto"/>
        <w:right w:val="none" w:sz="0" w:space="0" w:color="auto"/>
      </w:divBdr>
    </w:div>
    <w:div w:id="1910073348">
      <w:bodyDiv w:val="1"/>
      <w:marLeft w:val="0"/>
      <w:marRight w:val="0"/>
      <w:marTop w:val="0"/>
      <w:marBottom w:val="0"/>
      <w:divBdr>
        <w:top w:val="none" w:sz="0" w:space="0" w:color="auto"/>
        <w:left w:val="none" w:sz="0" w:space="0" w:color="auto"/>
        <w:bottom w:val="none" w:sz="0" w:space="0" w:color="auto"/>
        <w:right w:val="none" w:sz="0" w:space="0" w:color="auto"/>
      </w:divBdr>
    </w:div>
    <w:div w:id="1910456537">
      <w:bodyDiv w:val="1"/>
      <w:marLeft w:val="0"/>
      <w:marRight w:val="0"/>
      <w:marTop w:val="0"/>
      <w:marBottom w:val="0"/>
      <w:divBdr>
        <w:top w:val="none" w:sz="0" w:space="0" w:color="auto"/>
        <w:left w:val="none" w:sz="0" w:space="0" w:color="auto"/>
        <w:bottom w:val="none" w:sz="0" w:space="0" w:color="auto"/>
        <w:right w:val="none" w:sz="0" w:space="0" w:color="auto"/>
      </w:divBdr>
    </w:div>
    <w:div w:id="1914730671">
      <w:bodyDiv w:val="1"/>
      <w:marLeft w:val="0"/>
      <w:marRight w:val="0"/>
      <w:marTop w:val="0"/>
      <w:marBottom w:val="0"/>
      <w:divBdr>
        <w:top w:val="none" w:sz="0" w:space="0" w:color="auto"/>
        <w:left w:val="none" w:sz="0" w:space="0" w:color="auto"/>
        <w:bottom w:val="none" w:sz="0" w:space="0" w:color="auto"/>
        <w:right w:val="none" w:sz="0" w:space="0" w:color="auto"/>
      </w:divBdr>
    </w:div>
    <w:div w:id="1917932420">
      <w:bodyDiv w:val="1"/>
      <w:marLeft w:val="0"/>
      <w:marRight w:val="0"/>
      <w:marTop w:val="0"/>
      <w:marBottom w:val="0"/>
      <w:divBdr>
        <w:top w:val="none" w:sz="0" w:space="0" w:color="auto"/>
        <w:left w:val="none" w:sz="0" w:space="0" w:color="auto"/>
        <w:bottom w:val="none" w:sz="0" w:space="0" w:color="auto"/>
        <w:right w:val="none" w:sz="0" w:space="0" w:color="auto"/>
      </w:divBdr>
    </w:div>
    <w:div w:id="1929725383">
      <w:bodyDiv w:val="1"/>
      <w:marLeft w:val="0"/>
      <w:marRight w:val="0"/>
      <w:marTop w:val="0"/>
      <w:marBottom w:val="0"/>
      <w:divBdr>
        <w:top w:val="none" w:sz="0" w:space="0" w:color="auto"/>
        <w:left w:val="none" w:sz="0" w:space="0" w:color="auto"/>
        <w:bottom w:val="none" w:sz="0" w:space="0" w:color="auto"/>
        <w:right w:val="none" w:sz="0" w:space="0" w:color="auto"/>
      </w:divBdr>
    </w:div>
    <w:div w:id="1932929489">
      <w:bodyDiv w:val="1"/>
      <w:marLeft w:val="0"/>
      <w:marRight w:val="0"/>
      <w:marTop w:val="0"/>
      <w:marBottom w:val="0"/>
      <w:divBdr>
        <w:top w:val="none" w:sz="0" w:space="0" w:color="auto"/>
        <w:left w:val="none" w:sz="0" w:space="0" w:color="auto"/>
        <w:bottom w:val="none" w:sz="0" w:space="0" w:color="auto"/>
        <w:right w:val="none" w:sz="0" w:space="0" w:color="auto"/>
      </w:divBdr>
    </w:div>
    <w:div w:id="1936132186">
      <w:bodyDiv w:val="1"/>
      <w:marLeft w:val="0"/>
      <w:marRight w:val="0"/>
      <w:marTop w:val="0"/>
      <w:marBottom w:val="0"/>
      <w:divBdr>
        <w:top w:val="none" w:sz="0" w:space="0" w:color="auto"/>
        <w:left w:val="none" w:sz="0" w:space="0" w:color="auto"/>
        <w:bottom w:val="none" w:sz="0" w:space="0" w:color="auto"/>
        <w:right w:val="none" w:sz="0" w:space="0" w:color="auto"/>
      </w:divBdr>
    </w:div>
    <w:div w:id="1938827440">
      <w:bodyDiv w:val="1"/>
      <w:marLeft w:val="0"/>
      <w:marRight w:val="0"/>
      <w:marTop w:val="0"/>
      <w:marBottom w:val="0"/>
      <w:divBdr>
        <w:top w:val="none" w:sz="0" w:space="0" w:color="auto"/>
        <w:left w:val="none" w:sz="0" w:space="0" w:color="auto"/>
        <w:bottom w:val="none" w:sz="0" w:space="0" w:color="auto"/>
        <w:right w:val="none" w:sz="0" w:space="0" w:color="auto"/>
      </w:divBdr>
    </w:div>
    <w:div w:id="1941713227">
      <w:bodyDiv w:val="1"/>
      <w:marLeft w:val="0"/>
      <w:marRight w:val="0"/>
      <w:marTop w:val="0"/>
      <w:marBottom w:val="0"/>
      <w:divBdr>
        <w:top w:val="none" w:sz="0" w:space="0" w:color="auto"/>
        <w:left w:val="none" w:sz="0" w:space="0" w:color="auto"/>
        <w:bottom w:val="none" w:sz="0" w:space="0" w:color="auto"/>
        <w:right w:val="none" w:sz="0" w:space="0" w:color="auto"/>
      </w:divBdr>
    </w:div>
    <w:div w:id="1942568932">
      <w:bodyDiv w:val="1"/>
      <w:marLeft w:val="0"/>
      <w:marRight w:val="0"/>
      <w:marTop w:val="0"/>
      <w:marBottom w:val="0"/>
      <w:divBdr>
        <w:top w:val="none" w:sz="0" w:space="0" w:color="auto"/>
        <w:left w:val="none" w:sz="0" w:space="0" w:color="auto"/>
        <w:bottom w:val="none" w:sz="0" w:space="0" w:color="auto"/>
        <w:right w:val="none" w:sz="0" w:space="0" w:color="auto"/>
      </w:divBdr>
    </w:div>
    <w:div w:id="1948077120">
      <w:bodyDiv w:val="1"/>
      <w:marLeft w:val="0"/>
      <w:marRight w:val="0"/>
      <w:marTop w:val="0"/>
      <w:marBottom w:val="0"/>
      <w:divBdr>
        <w:top w:val="none" w:sz="0" w:space="0" w:color="auto"/>
        <w:left w:val="none" w:sz="0" w:space="0" w:color="auto"/>
        <w:bottom w:val="none" w:sz="0" w:space="0" w:color="auto"/>
        <w:right w:val="none" w:sz="0" w:space="0" w:color="auto"/>
      </w:divBdr>
    </w:div>
    <w:div w:id="1952321438">
      <w:bodyDiv w:val="1"/>
      <w:marLeft w:val="0"/>
      <w:marRight w:val="0"/>
      <w:marTop w:val="0"/>
      <w:marBottom w:val="0"/>
      <w:divBdr>
        <w:top w:val="none" w:sz="0" w:space="0" w:color="auto"/>
        <w:left w:val="none" w:sz="0" w:space="0" w:color="auto"/>
        <w:bottom w:val="none" w:sz="0" w:space="0" w:color="auto"/>
        <w:right w:val="none" w:sz="0" w:space="0" w:color="auto"/>
      </w:divBdr>
    </w:div>
    <w:div w:id="1953200387">
      <w:bodyDiv w:val="1"/>
      <w:marLeft w:val="0"/>
      <w:marRight w:val="0"/>
      <w:marTop w:val="0"/>
      <w:marBottom w:val="0"/>
      <w:divBdr>
        <w:top w:val="none" w:sz="0" w:space="0" w:color="auto"/>
        <w:left w:val="none" w:sz="0" w:space="0" w:color="auto"/>
        <w:bottom w:val="none" w:sz="0" w:space="0" w:color="auto"/>
        <w:right w:val="none" w:sz="0" w:space="0" w:color="auto"/>
      </w:divBdr>
    </w:div>
    <w:div w:id="1955820904">
      <w:bodyDiv w:val="1"/>
      <w:marLeft w:val="0"/>
      <w:marRight w:val="0"/>
      <w:marTop w:val="0"/>
      <w:marBottom w:val="0"/>
      <w:divBdr>
        <w:top w:val="none" w:sz="0" w:space="0" w:color="auto"/>
        <w:left w:val="none" w:sz="0" w:space="0" w:color="auto"/>
        <w:bottom w:val="none" w:sz="0" w:space="0" w:color="auto"/>
        <w:right w:val="none" w:sz="0" w:space="0" w:color="auto"/>
      </w:divBdr>
    </w:div>
    <w:div w:id="1968193701">
      <w:bodyDiv w:val="1"/>
      <w:marLeft w:val="0"/>
      <w:marRight w:val="0"/>
      <w:marTop w:val="0"/>
      <w:marBottom w:val="0"/>
      <w:divBdr>
        <w:top w:val="none" w:sz="0" w:space="0" w:color="auto"/>
        <w:left w:val="none" w:sz="0" w:space="0" w:color="auto"/>
        <w:bottom w:val="none" w:sz="0" w:space="0" w:color="auto"/>
        <w:right w:val="none" w:sz="0" w:space="0" w:color="auto"/>
      </w:divBdr>
    </w:div>
    <w:div w:id="1968310857">
      <w:bodyDiv w:val="1"/>
      <w:marLeft w:val="0"/>
      <w:marRight w:val="0"/>
      <w:marTop w:val="0"/>
      <w:marBottom w:val="0"/>
      <w:divBdr>
        <w:top w:val="none" w:sz="0" w:space="0" w:color="auto"/>
        <w:left w:val="none" w:sz="0" w:space="0" w:color="auto"/>
        <w:bottom w:val="none" w:sz="0" w:space="0" w:color="auto"/>
        <w:right w:val="none" w:sz="0" w:space="0" w:color="auto"/>
      </w:divBdr>
    </w:div>
    <w:div w:id="1971402228">
      <w:bodyDiv w:val="1"/>
      <w:marLeft w:val="0"/>
      <w:marRight w:val="0"/>
      <w:marTop w:val="0"/>
      <w:marBottom w:val="0"/>
      <w:divBdr>
        <w:top w:val="none" w:sz="0" w:space="0" w:color="auto"/>
        <w:left w:val="none" w:sz="0" w:space="0" w:color="auto"/>
        <w:bottom w:val="none" w:sz="0" w:space="0" w:color="auto"/>
        <w:right w:val="none" w:sz="0" w:space="0" w:color="auto"/>
      </w:divBdr>
    </w:div>
    <w:div w:id="1973555219">
      <w:bodyDiv w:val="1"/>
      <w:marLeft w:val="0"/>
      <w:marRight w:val="0"/>
      <w:marTop w:val="0"/>
      <w:marBottom w:val="0"/>
      <w:divBdr>
        <w:top w:val="none" w:sz="0" w:space="0" w:color="auto"/>
        <w:left w:val="none" w:sz="0" w:space="0" w:color="auto"/>
        <w:bottom w:val="none" w:sz="0" w:space="0" w:color="auto"/>
        <w:right w:val="none" w:sz="0" w:space="0" w:color="auto"/>
      </w:divBdr>
    </w:div>
    <w:div w:id="1984188751">
      <w:bodyDiv w:val="1"/>
      <w:marLeft w:val="0"/>
      <w:marRight w:val="0"/>
      <w:marTop w:val="0"/>
      <w:marBottom w:val="0"/>
      <w:divBdr>
        <w:top w:val="none" w:sz="0" w:space="0" w:color="auto"/>
        <w:left w:val="none" w:sz="0" w:space="0" w:color="auto"/>
        <w:bottom w:val="none" w:sz="0" w:space="0" w:color="auto"/>
        <w:right w:val="none" w:sz="0" w:space="0" w:color="auto"/>
      </w:divBdr>
    </w:div>
    <w:div w:id="2002998922">
      <w:bodyDiv w:val="1"/>
      <w:marLeft w:val="0"/>
      <w:marRight w:val="0"/>
      <w:marTop w:val="0"/>
      <w:marBottom w:val="0"/>
      <w:divBdr>
        <w:top w:val="none" w:sz="0" w:space="0" w:color="auto"/>
        <w:left w:val="none" w:sz="0" w:space="0" w:color="auto"/>
        <w:bottom w:val="none" w:sz="0" w:space="0" w:color="auto"/>
        <w:right w:val="none" w:sz="0" w:space="0" w:color="auto"/>
      </w:divBdr>
    </w:div>
    <w:div w:id="2003704311">
      <w:bodyDiv w:val="1"/>
      <w:marLeft w:val="0"/>
      <w:marRight w:val="0"/>
      <w:marTop w:val="0"/>
      <w:marBottom w:val="0"/>
      <w:divBdr>
        <w:top w:val="none" w:sz="0" w:space="0" w:color="auto"/>
        <w:left w:val="none" w:sz="0" w:space="0" w:color="auto"/>
        <w:bottom w:val="none" w:sz="0" w:space="0" w:color="auto"/>
        <w:right w:val="none" w:sz="0" w:space="0" w:color="auto"/>
      </w:divBdr>
    </w:div>
    <w:div w:id="2020159366">
      <w:bodyDiv w:val="1"/>
      <w:marLeft w:val="0"/>
      <w:marRight w:val="0"/>
      <w:marTop w:val="0"/>
      <w:marBottom w:val="0"/>
      <w:divBdr>
        <w:top w:val="none" w:sz="0" w:space="0" w:color="auto"/>
        <w:left w:val="none" w:sz="0" w:space="0" w:color="auto"/>
        <w:bottom w:val="none" w:sz="0" w:space="0" w:color="auto"/>
        <w:right w:val="none" w:sz="0" w:space="0" w:color="auto"/>
      </w:divBdr>
    </w:div>
    <w:div w:id="2024431918">
      <w:bodyDiv w:val="1"/>
      <w:marLeft w:val="0"/>
      <w:marRight w:val="0"/>
      <w:marTop w:val="0"/>
      <w:marBottom w:val="0"/>
      <w:divBdr>
        <w:top w:val="none" w:sz="0" w:space="0" w:color="auto"/>
        <w:left w:val="none" w:sz="0" w:space="0" w:color="auto"/>
        <w:bottom w:val="none" w:sz="0" w:space="0" w:color="auto"/>
        <w:right w:val="none" w:sz="0" w:space="0" w:color="auto"/>
      </w:divBdr>
    </w:div>
    <w:div w:id="2031566602">
      <w:bodyDiv w:val="1"/>
      <w:marLeft w:val="0"/>
      <w:marRight w:val="0"/>
      <w:marTop w:val="0"/>
      <w:marBottom w:val="0"/>
      <w:divBdr>
        <w:top w:val="none" w:sz="0" w:space="0" w:color="auto"/>
        <w:left w:val="none" w:sz="0" w:space="0" w:color="auto"/>
        <w:bottom w:val="none" w:sz="0" w:space="0" w:color="auto"/>
        <w:right w:val="none" w:sz="0" w:space="0" w:color="auto"/>
      </w:divBdr>
    </w:div>
    <w:div w:id="2036298742">
      <w:bodyDiv w:val="1"/>
      <w:marLeft w:val="0"/>
      <w:marRight w:val="0"/>
      <w:marTop w:val="0"/>
      <w:marBottom w:val="0"/>
      <w:divBdr>
        <w:top w:val="none" w:sz="0" w:space="0" w:color="auto"/>
        <w:left w:val="none" w:sz="0" w:space="0" w:color="auto"/>
        <w:bottom w:val="none" w:sz="0" w:space="0" w:color="auto"/>
        <w:right w:val="none" w:sz="0" w:space="0" w:color="auto"/>
      </w:divBdr>
    </w:div>
    <w:div w:id="2037926032">
      <w:bodyDiv w:val="1"/>
      <w:marLeft w:val="0"/>
      <w:marRight w:val="0"/>
      <w:marTop w:val="0"/>
      <w:marBottom w:val="0"/>
      <w:divBdr>
        <w:top w:val="none" w:sz="0" w:space="0" w:color="auto"/>
        <w:left w:val="none" w:sz="0" w:space="0" w:color="auto"/>
        <w:bottom w:val="none" w:sz="0" w:space="0" w:color="auto"/>
        <w:right w:val="none" w:sz="0" w:space="0" w:color="auto"/>
      </w:divBdr>
    </w:div>
    <w:div w:id="2038264942">
      <w:bodyDiv w:val="1"/>
      <w:marLeft w:val="0"/>
      <w:marRight w:val="0"/>
      <w:marTop w:val="0"/>
      <w:marBottom w:val="0"/>
      <w:divBdr>
        <w:top w:val="none" w:sz="0" w:space="0" w:color="auto"/>
        <w:left w:val="none" w:sz="0" w:space="0" w:color="auto"/>
        <w:bottom w:val="none" w:sz="0" w:space="0" w:color="auto"/>
        <w:right w:val="none" w:sz="0" w:space="0" w:color="auto"/>
      </w:divBdr>
    </w:div>
    <w:div w:id="2038850887">
      <w:bodyDiv w:val="1"/>
      <w:marLeft w:val="0"/>
      <w:marRight w:val="0"/>
      <w:marTop w:val="0"/>
      <w:marBottom w:val="0"/>
      <w:divBdr>
        <w:top w:val="none" w:sz="0" w:space="0" w:color="auto"/>
        <w:left w:val="none" w:sz="0" w:space="0" w:color="auto"/>
        <w:bottom w:val="none" w:sz="0" w:space="0" w:color="auto"/>
        <w:right w:val="none" w:sz="0" w:space="0" w:color="auto"/>
      </w:divBdr>
      <w:divsChild>
        <w:div w:id="965353210">
          <w:marLeft w:val="0"/>
          <w:marRight w:val="0"/>
          <w:marTop w:val="0"/>
          <w:marBottom w:val="0"/>
          <w:divBdr>
            <w:top w:val="none" w:sz="0" w:space="0" w:color="auto"/>
            <w:left w:val="none" w:sz="0" w:space="0" w:color="auto"/>
            <w:bottom w:val="none" w:sz="0" w:space="0" w:color="auto"/>
            <w:right w:val="none" w:sz="0" w:space="0" w:color="auto"/>
          </w:divBdr>
          <w:divsChild>
            <w:div w:id="306056695">
              <w:marLeft w:val="0"/>
              <w:marRight w:val="0"/>
              <w:marTop w:val="0"/>
              <w:marBottom w:val="0"/>
              <w:divBdr>
                <w:top w:val="none" w:sz="0" w:space="0" w:color="auto"/>
                <w:left w:val="none" w:sz="0" w:space="0" w:color="auto"/>
                <w:bottom w:val="none" w:sz="0" w:space="0" w:color="auto"/>
                <w:right w:val="none" w:sz="0" w:space="0" w:color="auto"/>
              </w:divBdr>
              <w:divsChild>
                <w:div w:id="1927690301">
                  <w:marLeft w:val="0"/>
                  <w:marRight w:val="0"/>
                  <w:marTop w:val="0"/>
                  <w:marBottom w:val="0"/>
                  <w:divBdr>
                    <w:top w:val="none" w:sz="0" w:space="0" w:color="auto"/>
                    <w:left w:val="none" w:sz="0" w:space="0" w:color="auto"/>
                    <w:bottom w:val="none" w:sz="0" w:space="0" w:color="auto"/>
                    <w:right w:val="none" w:sz="0" w:space="0" w:color="auto"/>
                  </w:divBdr>
                  <w:divsChild>
                    <w:div w:id="444235284">
                      <w:marLeft w:val="0"/>
                      <w:marRight w:val="0"/>
                      <w:marTop w:val="0"/>
                      <w:marBottom w:val="0"/>
                      <w:divBdr>
                        <w:top w:val="none" w:sz="0" w:space="0" w:color="auto"/>
                        <w:left w:val="none" w:sz="0" w:space="0" w:color="auto"/>
                        <w:bottom w:val="none" w:sz="0" w:space="0" w:color="auto"/>
                        <w:right w:val="none" w:sz="0" w:space="0" w:color="auto"/>
                      </w:divBdr>
                      <w:divsChild>
                        <w:div w:id="992025916">
                          <w:marLeft w:val="0"/>
                          <w:marRight w:val="0"/>
                          <w:marTop w:val="0"/>
                          <w:marBottom w:val="420"/>
                          <w:divBdr>
                            <w:top w:val="none" w:sz="0" w:space="0" w:color="auto"/>
                            <w:left w:val="none" w:sz="0" w:space="0" w:color="auto"/>
                            <w:bottom w:val="none" w:sz="0" w:space="0" w:color="auto"/>
                            <w:right w:val="none" w:sz="0" w:space="0" w:color="auto"/>
                          </w:divBdr>
                          <w:divsChild>
                            <w:div w:id="1821992725">
                              <w:marLeft w:val="0"/>
                              <w:marRight w:val="0"/>
                              <w:marTop w:val="0"/>
                              <w:marBottom w:val="0"/>
                              <w:divBdr>
                                <w:top w:val="none" w:sz="0" w:space="0" w:color="auto"/>
                                <w:left w:val="none" w:sz="0" w:space="0" w:color="auto"/>
                                <w:bottom w:val="none" w:sz="0" w:space="0" w:color="auto"/>
                                <w:right w:val="none" w:sz="0" w:space="0" w:color="auto"/>
                              </w:divBdr>
                              <w:divsChild>
                                <w:div w:id="1273395321">
                                  <w:marLeft w:val="0"/>
                                  <w:marRight w:val="0"/>
                                  <w:marTop w:val="0"/>
                                  <w:marBottom w:val="420"/>
                                  <w:divBdr>
                                    <w:top w:val="none" w:sz="0" w:space="0" w:color="auto"/>
                                    <w:left w:val="none" w:sz="0" w:space="0" w:color="auto"/>
                                    <w:bottom w:val="none" w:sz="0" w:space="0" w:color="auto"/>
                                    <w:right w:val="none" w:sz="0" w:space="0" w:color="auto"/>
                                  </w:divBdr>
                                  <w:divsChild>
                                    <w:div w:id="160885276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933956">
      <w:bodyDiv w:val="1"/>
      <w:marLeft w:val="0"/>
      <w:marRight w:val="0"/>
      <w:marTop w:val="0"/>
      <w:marBottom w:val="0"/>
      <w:divBdr>
        <w:top w:val="none" w:sz="0" w:space="0" w:color="auto"/>
        <w:left w:val="none" w:sz="0" w:space="0" w:color="auto"/>
        <w:bottom w:val="none" w:sz="0" w:space="0" w:color="auto"/>
        <w:right w:val="none" w:sz="0" w:space="0" w:color="auto"/>
      </w:divBdr>
    </w:div>
    <w:div w:id="2045013772">
      <w:bodyDiv w:val="1"/>
      <w:marLeft w:val="0"/>
      <w:marRight w:val="0"/>
      <w:marTop w:val="0"/>
      <w:marBottom w:val="0"/>
      <w:divBdr>
        <w:top w:val="none" w:sz="0" w:space="0" w:color="auto"/>
        <w:left w:val="none" w:sz="0" w:space="0" w:color="auto"/>
        <w:bottom w:val="none" w:sz="0" w:space="0" w:color="auto"/>
        <w:right w:val="none" w:sz="0" w:space="0" w:color="auto"/>
      </w:divBdr>
    </w:div>
    <w:div w:id="2048093600">
      <w:bodyDiv w:val="1"/>
      <w:marLeft w:val="0"/>
      <w:marRight w:val="0"/>
      <w:marTop w:val="0"/>
      <w:marBottom w:val="0"/>
      <w:divBdr>
        <w:top w:val="none" w:sz="0" w:space="0" w:color="auto"/>
        <w:left w:val="none" w:sz="0" w:space="0" w:color="auto"/>
        <w:bottom w:val="none" w:sz="0" w:space="0" w:color="auto"/>
        <w:right w:val="none" w:sz="0" w:space="0" w:color="auto"/>
      </w:divBdr>
    </w:div>
    <w:div w:id="2052919399">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
    <w:div w:id="2058238729">
      <w:bodyDiv w:val="1"/>
      <w:marLeft w:val="0"/>
      <w:marRight w:val="0"/>
      <w:marTop w:val="0"/>
      <w:marBottom w:val="0"/>
      <w:divBdr>
        <w:top w:val="none" w:sz="0" w:space="0" w:color="auto"/>
        <w:left w:val="none" w:sz="0" w:space="0" w:color="auto"/>
        <w:bottom w:val="none" w:sz="0" w:space="0" w:color="auto"/>
        <w:right w:val="none" w:sz="0" w:space="0" w:color="auto"/>
      </w:divBdr>
      <w:divsChild>
        <w:div w:id="1023437815">
          <w:marLeft w:val="0"/>
          <w:marRight w:val="0"/>
          <w:marTop w:val="0"/>
          <w:marBottom w:val="0"/>
          <w:divBdr>
            <w:top w:val="none" w:sz="0" w:space="0" w:color="auto"/>
            <w:left w:val="none" w:sz="0" w:space="0" w:color="auto"/>
            <w:bottom w:val="none" w:sz="0" w:space="0" w:color="auto"/>
            <w:right w:val="none" w:sz="0" w:space="0" w:color="auto"/>
          </w:divBdr>
          <w:divsChild>
            <w:div w:id="1542206653">
              <w:marLeft w:val="0"/>
              <w:marRight w:val="0"/>
              <w:marTop w:val="0"/>
              <w:marBottom w:val="0"/>
              <w:divBdr>
                <w:top w:val="none" w:sz="0" w:space="0" w:color="auto"/>
                <w:left w:val="none" w:sz="0" w:space="0" w:color="auto"/>
                <w:bottom w:val="none" w:sz="0" w:space="0" w:color="auto"/>
                <w:right w:val="none" w:sz="0" w:space="0" w:color="auto"/>
              </w:divBdr>
              <w:divsChild>
                <w:div w:id="1323853777">
                  <w:marLeft w:val="0"/>
                  <w:marRight w:val="0"/>
                  <w:marTop w:val="0"/>
                  <w:marBottom w:val="0"/>
                  <w:divBdr>
                    <w:top w:val="none" w:sz="0" w:space="0" w:color="auto"/>
                    <w:left w:val="none" w:sz="0" w:space="0" w:color="auto"/>
                    <w:bottom w:val="none" w:sz="0" w:space="0" w:color="auto"/>
                    <w:right w:val="none" w:sz="0" w:space="0" w:color="auto"/>
                  </w:divBdr>
                  <w:divsChild>
                    <w:div w:id="1707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41818">
      <w:bodyDiv w:val="1"/>
      <w:marLeft w:val="0"/>
      <w:marRight w:val="0"/>
      <w:marTop w:val="0"/>
      <w:marBottom w:val="0"/>
      <w:divBdr>
        <w:top w:val="none" w:sz="0" w:space="0" w:color="auto"/>
        <w:left w:val="none" w:sz="0" w:space="0" w:color="auto"/>
        <w:bottom w:val="none" w:sz="0" w:space="0" w:color="auto"/>
        <w:right w:val="none" w:sz="0" w:space="0" w:color="auto"/>
      </w:divBdr>
    </w:div>
    <w:div w:id="2063477410">
      <w:bodyDiv w:val="1"/>
      <w:marLeft w:val="0"/>
      <w:marRight w:val="0"/>
      <w:marTop w:val="0"/>
      <w:marBottom w:val="0"/>
      <w:divBdr>
        <w:top w:val="none" w:sz="0" w:space="0" w:color="auto"/>
        <w:left w:val="none" w:sz="0" w:space="0" w:color="auto"/>
        <w:bottom w:val="none" w:sz="0" w:space="0" w:color="auto"/>
        <w:right w:val="none" w:sz="0" w:space="0" w:color="auto"/>
      </w:divBdr>
    </w:div>
    <w:div w:id="2065057398">
      <w:bodyDiv w:val="1"/>
      <w:marLeft w:val="0"/>
      <w:marRight w:val="0"/>
      <w:marTop w:val="0"/>
      <w:marBottom w:val="0"/>
      <w:divBdr>
        <w:top w:val="none" w:sz="0" w:space="0" w:color="auto"/>
        <w:left w:val="none" w:sz="0" w:space="0" w:color="auto"/>
        <w:bottom w:val="none" w:sz="0" w:space="0" w:color="auto"/>
        <w:right w:val="none" w:sz="0" w:space="0" w:color="auto"/>
      </w:divBdr>
      <w:divsChild>
        <w:div w:id="1309702756">
          <w:marLeft w:val="432"/>
          <w:marRight w:val="0"/>
          <w:marTop w:val="115"/>
          <w:marBottom w:val="0"/>
          <w:divBdr>
            <w:top w:val="none" w:sz="0" w:space="0" w:color="auto"/>
            <w:left w:val="none" w:sz="0" w:space="0" w:color="auto"/>
            <w:bottom w:val="none" w:sz="0" w:space="0" w:color="auto"/>
            <w:right w:val="none" w:sz="0" w:space="0" w:color="auto"/>
          </w:divBdr>
        </w:div>
        <w:div w:id="1767388550">
          <w:marLeft w:val="432"/>
          <w:marRight w:val="0"/>
          <w:marTop w:val="115"/>
          <w:marBottom w:val="0"/>
          <w:divBdr>
            <w:top w:val="none" w:sz="0" w:space="0" w:color="auto"/>
            <w:left w:val="none" w:sz="0" w:space="0" w:color="auto"/>
            <w:bottom w:val="none" w:sz="0" w:space="0" w:color="auto"/>
            <w:right w:val="none" w:sz="0" w:space="0" w:color="auto"/>
          </w:divBdr>
        </w:div>
      </w:divsChild>
    </w:div>
    <w:div w:id="2067138417">
      <w:bodyDiv w:val="1"/>
      <w:marLeft w:val="0"/>
      <w:marRight w:val="0"/>
      <w:marTop w:val="0"/>
      <w:marBottom w:val="0"/>
      <w:divBdr>
        <w:top w:val="none" w:sz="0" w:space="0" w:color="auto"/>
        <w:left w:val="none" w:sz="0" w:space="0" w:color="auto"/>
        <w:bottom w:val="none" w:sz="0" w:space="0" w:color="auto"/>
        <w:right w:val="none" w:sz="0" w:space="0" w:color="auto"/>
      </w:divBdr>
    </w:div>
    <w:div w:id="2068524239">
      <w:bodyDiv w:val="1"/>
      <w:marLeft w:val="0"/>
      <w:marRight w:val="0"/>
      <w:marTop w:val="0"/>
      <w:marBottom w:val="0"/>
      <w:divBdr>
        <w:top w:val="none" w:sz="0" w:space="0" w:color="auto"/>
        <w:left w:val="none" w:sz="0" w:space="0" w:color="auto"/>
        <w:bottom w:val="none" w:sz="0" w:space="0" w:color="auto"/>
        <w:right w:val="none" w:sz="0" w:space="0" w:color="auto"/>
      </w:divBdr>
    </w:div>
    <w:div w:id="2069299555">
      <w:bodyDiv w:val="1"/>
      <w:marLeft w:val="0"/>
      <w:marRight w:val="0"/>
      <w:marTop w:val="0"/>
      <w:marBottom w:val="0"/>
      <w:divBdr>
        <w:top w:val="none" w:sz="0" w:space="0" w:color="auto"/>
        <w:left w:val="none" w:sz="0" w:space="0" w:color="auto"/>
        <w:bottom w:val="none" w:sz="0" w:space="0" w:color="auto"/>
        <w:right w:val="none" w:sz="0" w:space="0" w:color="auto"/>
      </w:divBdr>
    </w:div>
    <w:div w:id="2070614378">
      <w:bodyDiv w:val="1"/>
      <w:marLeft w:val="0"/>
      <w:marRight w:val="0"/>
      <w:marTop w:val="0"/>
      <w:marBottom w:val="0"/>
      <w:divBdr>
        <w:top w:val="none" w:sz="0" w:space="0" w:color="auto"/>
        <w:left w:val="none" w:sz="0" w:space="0" w:color="auto"/>
        <w:bottom w:val="none" w:sz="0" w:space="0" w:color="auto"/>
        <w:right w:val="none" w:sz="0" w:space="0" w:color="auto"/>
      </w:divBdr>
    </w:div>
    <w:div w:id="2070760811">
      <w:bodyDiv w:val="1"/>
      <w:marLeft w:val="0"/>
      <w:marRight w:val="0"/>
      <w:marTop w:val="0"/>
      <w:marBottom w:val="0"/>
      <w:divBdr>
        <w:top w:val="none" w:sz="0" w:space="0" w:color="auto"/>
        <w:left w:val="none" w:sz="0" w:space="0" w:color="auto"/>
        <w:bottom w:val="none" w:sz="0" w:space="0" w:color="auto"/>
        <w:right w:val="none" w:sz="0" w:space="0" w:color="auto"/>
      </w:divBdr>
    </w:div>
    <w:div w:id="2073581412">
      <w:bodyDiv w:val="1"/>
      <w:marLeft w:val="0"/>
      <w:marRight w:val="0"/>
      <w:marTop w:val="0"/>
      <w:marBottom w:val="0"/>
      <w:divBdr>
        <w:top w:val="none" w:sz="0" w:space="0" w:color="auto"/>
        <w:left w:val="none" w:sz="0" w:space="0" w:color="auto"/>
        <w:bottom w:val="none" w:sz="0" w:space="0" w:color="auto"/>
        <w:right w:val="none" w:sz="0" w:space="0" w:color="auto"/>
      </w:divBdr>
    </w:div>
    <w:div w:id="2077849235">
      <w:bodyDiv w:val="1"/>
      <w:marLeft w:val="0"/>
      <w:marRight w:val="0"/>
      <w:marTop w:val="0"/>
      <w:marBottom w:val="0"/>
      <w:divBdr>
        <w:top w:val="none" w:sz="0" w:space="0" w:color="auto"/>
        <w:left w:val="none" w:sz="0" w:space="0" w:color="auto"/>
        <w:bottom w:val="none" w:sz="0" w:space="0" w:color="auto"/>
        <w:right w:val="none" w:sz="0" w:space="0" w:color="auto"/>
      </w:divBdr>
    </w:div>
    <w:div w:id="2079277965">
      <w:bodyDiv w:val="1"/>
      <w:marLeft w:val="0"/>
      <w:marRight w:val="0"/>
      <w:marTop w:val="0"/>
      <w:marBottom w:val="0"/>
      <w:divBdr>
        <w:top w:val="none" w:sz="0" w:space="0" w:color="auto"/>
        <w:left w:val="none" w:sz="0" w:space="0" w:color="auto"/>
        <w:bottom w:val="none" w:sz="0" w:space="0" w:color="auto"/>
        <w:right w:val="none" w:sz="0" w:space="0" w:color="auto"/>
      </w:divBdr>
    </w:div>
    <w:div w:id="2084259001">
      <w:bodyDiv w:val="1"/>
      <w:marLeft w:val="0"/>
      <w:marRight w:val="0"/>
      <w:marTop w:val="0"/>
      <w:marBottom w:val="0"/>
      <w:divBdr>
        <w:top w:val="none" w:sz="0" w:space="0" w:color="auto"/>
        <w:left w:val="none" w:sz="0" w:space="0" w:color="auto"/>
        <w:bottom w:val="none" w:sz="0" w:space="0" w:color="auto"/>
        <w:right w:val="none" w:sz="0" w:space="0" w:color="auto"/>
      </w:divBdr>
    </w:div>
    <w:div w:id="2093618127">
      <w:bodyDiv w:val="1"/>
      <w:marLeft w:val="0"/>
      <w:marRight w:val="0"/>
      <w:marTop w:val="0"/>
      <w:marBottom w:val="0"/>
      <w:divBdr>
        <w:top w:val="none" w:sz="0" w:space="0" w:color="auto"/>
        <w:left w:val="none" w:sz="0" w:space="0" w:color="auto"/>
        <w:bottom w:val="none" w:sz="0" w:space="0" w:color="auto"/>
        <w:right w:val="none" w:sz="0" w:space="0" w:color="auto"/>
      </w:divBdr>
    </w:div>
    <w:div w:id="2094667550">
      <w:bodyDiv w:val="1"/>
      <w:marLeft w:val="0"/>
      <w:marRight w:val="0"/>
      <w:marTop w:val="0"/>
      <w:marBottom w:val="0"/>
      <w:divBdr>
        <w:top w:val="none" w:sz="0" w:space="0" w:color="auto"/>
        <w:left w:val="none" w:sz="0" w:space="0" w:color="auto"/>
        <w:bottom w:val="none" w:sz="0" w:space="0" w:color="auto"/>
        <w:right w:val="none" w:sz="0" w:space="0" w:color="auto"/>
      </w:divBdr>
    </w:div>
    <w:div w:id="2095470692">
      <w:bodyDiv w:val="1"/>
      <w:marLeft w:val="0"/>
      <w:marRight w:val="0"/>
      <w:marTop w:val="0"/>
      <w:marBottom w:val="0"/>
      <w:divBdr>
        <w:top w:val="none" w:sz="0" w:space="0" w:color="auto"/>
        <w:left w:val="none" w:sz="0" w:space="0" w:color="auto"/>
        <w:bottom w:val="none" w:sz="0" w:space="0" w:color="auto"/>
        <w:right w:val="none" w:sz="0" w:space="0" w:color="auto"/>
      </w:divBdr>
    </w:div>
    <w:div w:id="2106030638">
      <w:bodyDiv w:val="1"/>
      <w:marLeft w:val="0"/>
      <w:marRight w:val="0"/>
      <w:marTop w:val="0"/>
      <w:marBottom w:val="0"/>
      <w:divBdr>
        <w:top w:val="none" w:sz="0" w:space="0" w:color="auto"/>
        <w:left w:val="none" w:sz="0" w:space="0" w:color="auto"/>
        <w:bottom w:val="none" w:sz="0" w:space="0" w:color="auto"/>
        <w:right w:val="none" w:sz="0" w:space="0" w:color="auto"/>
      </w:divBdr>
      <w:divsChild>
        <w:div w:id="351955478">
          <w:marLeft w:val="0"/>
          <w:marRight w:val="0"/>
          <w:marTop w:val="0"/>
          <w:marBottom w:val="0"/>
          <w:divBdr>
            <w:top w:val="none" w:sz="0" w:space="0" w:color="auto"/>
            <w:left w:val="none" w:sz="0" w:space="0" w:color="auto"/>
            <w:bottom w:val="none" w:sz="0" w:space="0" w:color="auto"/>
            <w:right w:val="none" w:sz="0" w:space="0" w:color="auto"/>
          </w:divBdr>
          <w:divsChild>
            <w:div w:id="1327633974">
              <w:marLeft w:val="0"/>
              <w:marRight w:val="0"/>
              <w:marTop w:val="0"/>
              <w:marBottom w:val="0"/>
              <w:divBdr>
                <w:top w:val="none" w:sz="0" w:space="0" w:color="auto"/>
                <w:left w:val="none" w:sz="0" w:space="0" w:color="auto"/>
                <w:bottom w:val="none" w:sz="0" w:space="0" w:color="auto"/>
                <w:right w:val="none" w:sz="0" w:space="0" w:color="auto"/>
              </w:divBdr>
              <w:divsChild>
                <w:div w:id="1896156993">
                  <w:marLeft w:val="0"/>
                  <w:marRight w:val="0"/>
                  <w:marTop w:val="0"/>
                  <w:marBottom w:val="0"/>
                  <w:divBdr>
                    <w:top w:val="none" w:sz="0" w:space="0" w:color="auto"/>
                    <w:left w:val="none" w:sz="0" w:space="0" w:color="auto"/>
                    <w:bottom w:val="none" w:sz="0" w:space="0" w:color="auto"/>
                    <w:right w:val="none" w:sz="0" w:space="0" w:color="auto"/>
                  </w:divBdr>
                  <w:divsChild>
                    <w:div w:id="1268854797">
                      <w:marLeft w:val="0"/>
                      <w:marRight w:val="0"/>
                      <w:marTop w:val="0"/>
                      <w:marBottom w:val="0"/>
                      <w:divBdr>
                        <w:top w:val="none" w:sz="0" w:space="0" w:color="auto"/>
                        <w:left w:val="none" w:sz="0" w:space="0" w:color="auto"/>
                        <w:bottom w:val="none" w:sz="0" w:space="0" w:color="auto"/>
                        <w:right w:val="none" w:sz="0" w:space="0" w:color="auto"/>
                      </w:divBdr>
                      <w:divsChild>
                        <w:div w:id="1367171724">
                          <w:marLeft w:val="0"/>
                          <w:marRight w:val="0"/>
                          <w:marTop w:val="0"/>
                          <w:marBottom w:val="420"/>
                          <w:divBdr>
                            <w:top w:val="none" w:sz="0" w:space="0" w:color="auto"/>
                            <w:left w:val="none" w:sz="0" w:space="0" w:color="auto"/>
                            <w:bottom w:val="none" w:sz="0" w:space="0" w:color="auto"/>
                            <w:right w:val="none" w:sz="0" w:space="0" w:color="auto"/>
                          </w:divBdr>
                          <w:divsChild>
                            <w:div w:id="1951887280">
                              <w:marLeft w:val="0"/>
                              <w:marRight w:val="0"/>
                              <w:marTop w:val="0"/>
                              <w:marBottom w:val="0"/>
                              <w:divBdr>
                                <w:top w:val="none" w:sz="0" w:space="0" w:color="auto"/>
                                <w:left w:val="none" w:sz="0" w:space="0" w:color="auto"/>
                                <w:bottom w:val="none" w:sz="0" w:space="0" w:color="auto"/>
                                <w:right w:val="none" w:sz="0" w:space="0" w:color="auto"/>
                              </w:divBdr>
                              <w:divsChild>
                                <w:div w:id="1535997012">
                                  <w:marLeft w:val="0"/>
                                  <w:marRight w:val="0"/>
                                  <w:marTop w:val="0"/>
                                  <w:marBottom w:val="420"/>
                                  <w:divBdr>
                                    <w:top w:val="none" w:sz="0" w:space="0" w:color="auto"/>
                                    <w:left w:val="none" w:sz="0" w:space="0" w:color="auto"/>
                                    <w:bottom w:val="none" w:sz="0" w:space="0" w:color="auto"/>
                                    <w:right w:val="none" w:sz="0" w:space="0" w:color="auto"/>
                                  </w:divBdr>
                                  <w:divsChild>
                                    <w:div w:id="2142074087">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999435">
      <w:bodyDiv w:val="1"/>
      <w:marLeft w:val="0"/>
      <w:marRight w:val="0"/>
      <w:marTop w:val="0"/>
      <w:marBottom w:val="0"/>
      <w:divBdr>
        <w:top w:val="none" w:sz="0" w:space="0" w:color="auto"/>
        <w:left w:val="none" w:sz="0" w:space="0" w:color="auto"/>
        <w:bottom w:val="none" w:sz="0" w:space="0" w:color="auto"/>
        <w:right w:val="none" w:sz="0" w:space="0" w:color="auto"/>
      </w:divBdr>
    </w:div>
    <w:div w:id="2110391188">
      <w:bodyDiv w:val="1"/>
      <w:marLeft w:val="0"/>
      <w:marRight w:val="0"/>
      <w:marTop w:val="0"/>
      <w:marBottom w:val="0"/>
      <w:divBdr>
        <w:top w:val="none" w:sz="0" w:space="0" w:color="auto"/>
        <w:left w:val="none" w:sz="0" w:space="0" w:color="auto"/>
        <w:bottom w:val="none" w:sz="0" w:space="0" w:color="auto"/>
        <w:right w:val="none" w:sz="0" w:space="0" w:color="auto"/>
      </w:divBdr>
    </w:div>
    <w:div w:id="2114207847">
      <w:bodyDiv w:val="1"/>
      <w:marLeft w:val="0"/>
      <w:marRight w:val="0"/>
      <w:marTop w:val="0"/>
      <w:marBottom w:val="0"/>
      <w:divBdr>
        <w:top w:val="none" w:sz="0" w:space="0" w:color="auto"/>
        <w:left w:val="none" w:sz="0" w:space="0" w:color="auto"/>
        <w:bottom w:val="none" w:sz="0" w:space="0" w:color="auto"/>
        <w:right w:val="none" w:sz="0" w:space="0" w:color="auto"/>
      </w:divBdr>
    </w:div>
    <w:div w:id="2114668016">
      <w:bodyDiv w:val="1"/>
      <w:marLeft w:val="0"/>
      <w:marRight w:val="0"/>
      <w:marTop w:val="0"/>
      <w:marBottom w:val="0"/>
      <w:divBdr>
        <w:top w:val="none" w:sz="0" w:space="0" w:color="auto"/>
        <w:left w:val="none" w:sz="0" w:space="0" w:color="auto"/>
        <w:bottom w:val="none" w:sz="0" w:space="0" w:color="auto"/>
        <w:right w:val="none" w:sz="0" w:space="0" w:color="auto"/>
      </w:divBdr>
    </w:div>
    <w:div w:id="2119594850">
      <w:bodyDiv w:val="1"/>
      <w:marLeft w:val="0"/>
      <w:marRight w:val="0"/>
      <w:marTop w:val="0"/>
      <w:marBottom w:val="0"/>
      <w:divBdr>
        <w:top w:val="none" w:sz="0" w:space="0" w:color="auto"/>
        <w:left w:val="none" w:sz="0" w:space="0" w:color="auto"/>
        <w:bottom w:val="none" w:sz="0" w:space="0" w:color="auto"/>
        <w:right w:val="none" w:sz="0" w:space="0" w:color="auto"/>
      </w:divBdr>
    </w:div>
    <w:div w:id="2121338927">
      <w:bodyDiv w:val="1"/>
      <w:marLeft w:val="0"/>
      <w:marRight w:val="0"/>
      <w:marTop w:val="0"/>
      <w:marBottom w:val="0"/>
      <w:divBdr>
        <w:top w:val="none" w:sz="0" w:space="0" w:color="auto"/>
        <w:left w:val="none" w:sz="0" w:space="0" w:color="auto"/>
        <w:bottom w:val="none" w:sz="0" w:space="0" w:color="auto"/>
        <w:right w:val="none" w:sz="0" w:space="0" w:color="auto"/>
      </w:divBdr>
    </w:div>
    <w:div w:id="2126541004">
      <w:bodyDiv w:val="1"/>
      <w:marLeft w:val="0"/>
      <w:marRight w:val="0"/>
      <w:marTop w:val="0"/>
      <w:marBottom w:val="0"/>
      <w:divBdr>
        <w:top w:val="none" w:sz="0" w:space="0" w:color="auto"/>
        <w:left w:val="none" w:sz="0" w:space="0" w:color="auto"/>
        <w:bottom w:val="none" w:sz="0" w:space="0" w:color="auto"/>
        <w:right w:val="none" w:sz="0" w:space="0" w:color="auto"/>
      </w:divBdr>
    </w:div>
    <w:div w:id="2132048673">
      <w:bodyDiv w:val="1"/>
      <w:marLeft w:val="0"/>
      <w:marRight w:val="0"/>
      <w:marTop w:val="0"/>
      <w:marBottom w:val="0"/>
      <w:divBdr>
        <w:top w:val="none" w:sz="0" w:space="0" w:color="auto"/>
        <w:left w:val="none" w:sz="0" w:space="0" w:color="auto"/>
        <w:bottom w:val="none" w:sz="0" w:space="0" w:color="auto"/>
        <w:right w:val="none" w:sz="0" w:space="0" w:color="auto"/>
      </w:divBdr>
    </w:div>
    <w:div w:id="2138601702">
      <w:bodyDiv w:val="1"/>
      <w:marLeft w:val="0"/>
      <w:marRight w:val="0"/>
      <w:marTop w:val="0"/>
      <w:marBottom w:val="0"/>
      <w:divBdr>
        <w:top w:val="none" w:sz="0" w:space="0" w:color="auto"/>
        <w:left w:val="none" w:sz="0" w:space="0" w:color="auto"/>
        <w:bottom w:val="none" w:sz="0" w:space="0" w:color="auto"/>
        <w:right w:val="none" w:sz="0" w:space="0" w:color="auto"/>
      </w:divBdr>
    </w:div>
    <w:div w:id="2142116579">
      <w:bodyDiv w:val="1"/>
      <w:marLeft w:val="0"/>
      <w:marRight w:val="0"/>
      <w:marTop w:val="0"/>
      <w:marBottom w:val="0"/>
      <w:divBdr>
        <w:top w:val="none" w:sz="0" w:space="0" w:color="auto"/>
        <w:left w:val="none" w:sz="0" w:space="0" w:color="auto"/>
        <w:bottom w:val="none" w:sz="0" w:space="0" w:color="auto"/>
        <w:right w:val="none" w:sz="0" w:space="0" w:color="auto"/>
      </w:divBdr>
      <w:divsChild>
        <w:div w:id="362170319">
          <w:marLeft w:val="0"/>
          <w:marRight w:val="0"/>
          <w:marTop w:val="0"/>
          <w:marBottom w:val="0"/>
          <w:divBdr>
            <w:top w:val="none" w:sz="0" w:space="0" w:color="auto"/>
            <w:left w:val="none" w:sz="0" w:space="0" w:color="auto"/>
            <w:bottom w:val="none" w:sz="0" w:space="0" w:color="auto"/>
            <w:right w:val="none" w:sz="0" w:space="0" w:color="auto"/>
          </w:divBdr>
          <w:divsChild>
            <w:div w:id="1159810324">
              <w:marLeft w:val="0"/>
              <w:marRight w:val="0"/>
              <w:marTop w:val="0"/>
              <w:marBottom w:val="0"/>
              <w:divBdr>
                <w:top w:val="none" w:sz="0" w:space="0" w:color="auto"/>
                <w:left w:val="none" w:sz="0" w:space="0" w:color="auto"/>
                <w:bottom w:val="none" w:sz="0" w:space="0" w:color="auto"/>
                <w:right w:val="none" w:sz="0" w:space="0" w:color="auto"/>
              </w:divBdr>
              <w:divsChild>
                <w:div w:id="1570312088">
                  <w:marLeft w:val="0"/>
                  <w:marRight w:val="0"/>
                  <w:marTop w:val="0"/>
                  <w:marBottom w:val="0"/>
                  <w:divBdr>
                    <w:top w:val="none" w:sz="0" w:space="0" w:color="auto"/>
                    <w:left w:val="none" w:sz="0" w:space="0" w:color="auto"/>
                    <w:bottom w:val="none" w:sz="0" w:space="0" w:color="auto"/>
                    <w:right w:val="none" w:sz="0" w:space="0" w:color="auto"/>
                  </w:divBdr>
                  <w:divsChild>
                    <w:div w:id="654726883">
                      <w:marLeft w:val="0"/>
                      <w:marRight w:val="0"/>
                      <w:marTop w:val="0"/>
                      <w:marBottom w:val="0"/>
                      <w:divBdr>
                        <w:top w:val="none" w:sz="0" w:space="0" w:color="auto"/>
                        <w:left w:val="none" w:sz="0" w:space="0" w:color="auto"/>
                        <w:bottom w:val="none" w:sz="0" w:space="0" w:color="auto"/>
                        <w:right w:val="none" w:sz="0" w:space="0" w:color="auto"/>
                      </w:divBdr>
                      <w:divsChild>
                        <w:div w:id="1729645774">
                          <w:marLeft w:val="0"/>
                          <w:marRight w:val="0"/>
                          <w:marTop w:val="0"/>
                          <w:marBottom w:val="0"/>
                          <w:divBdr>
                            <w:top w:val="none" w:sz="0" w:space="0" w:color="auto"/>
                            <w:left w:val="none" w:sz="0" w:space="0" w:color="auto"/>
                            <w:bottom w:val="none" w:sz="0" w:space="0" w:color="auto"/>
                            <w:right w:val="none" w:sz="0" w:space="0" w:color="auto"/>
                          </w:divBdr>
                          <w:divsChild>
                            <w:div w:id="1045177102">
                              <w:marLeft w:val="0"/>
                              <w:marRight w:val="0"/>
                              <w:marTop w:val="0"/>
                              <w:marBottom w:val="0"/>
                              <w:divBdr>
                                <w:top w:val="none" w:sz="0" w:space="0" w:color="auto"/>
                                <w:left w:val="none" w:sz="0" w:space="0" w:color="auto"/>
                                <w:bottom w:val="none" w:sz="0" w:space="0" w:color="auto"/>
                                <w:right w:val="none" w:sz="0" w:space="0" w:color="auto"/>
                              </w:divBdr>
                              <w:divsChild>
                                <w:div w:id="4819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7805">
      <w:bodyDiv w:val="1"/>
      <w:marLeft w:val="0"/>
      <w:marRight w:val="0"/>
      <w:marTop w:val="0"/>
      <w:marBottom w:val="0"/>
      <w:divBdr>
        <w:top w:val="none" w:sz="0" w:space="0" w:color="auto"/>
        <w:left w:val="none" w:sz="0" w:space="0" w:color="auto"/>
        <w:bottom w:val="none" w:sz="0" w:space="0" w:color="auto"/>
        <w:right w:val="none" w:sz="0" w:space="0" w:color="auto"/>
      </w:divBdr>
    </w:div>
    <w:div w:id="21473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jp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outhern@creativenz.govt.nz" TargetMode="External"/><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4.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hyperlink" Target="http://www.legislation.govt.nz/act/public/1994/0019/latest/link.aspx?id=DLM3296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rthern@creativenz.govt.nz%20" TargetMode="Externa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footer" Target="footer1.xml"/><Relationship Id="rId45" Type="http://schemas.openxmlformats.org/officeDocument/2006/relationships/image" Target="media/image30.emf"/><Relationship Id="rId53" Type="http://schemas.openxmlformats.org/officeDocument/2006/relationships/hyperlink" Target="http://www.legislation.govt.nz/act/public/1994/0019/latest/link.aspx?id=DLM330308"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apo.co.nz/wp-content/gallery/sistema-concert-2013/apo-sistema-concert-2012-4.jpg" TargetMode="External"/><Relationship Id="rId28" Type="http://schemas.openxmlformats.org/officeDocument/2006/relationships/image" Target="media/image15.jpg"/><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theme" Target="theme/theme1.xml"/><Relationship Id="rId10" Type="http://schemas.openxmlformats.org/officeDocument/2006/relationships/hyperlink" Target="mailto:info@creativenz.govt.nz" TargetMode="External"/><Relationship Id="rId19" Type="http://schemas.openxmlformats.org/officeDocument/2006/relationships/image" Target="media/image7.emf"/><Relationship Id="rId31" Type="http://schemas.openxmlformats.org/officeDocument/2006/relationships/image" Target="media/image18.jpeg"/><Relationship Id="rId44" Type="http://schemas.openxmlformats.org/officeDocument/2006/relationships/image" Target="media/image29.emf"/><Relationship Id="rId52"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creativenz.govt.nz" TargetMode="External"/><Relationship Id="rId2" Type="http://schemas.openxmlformats.org/officeDocument/2006/relationships/hyperlink" Target="http://www.creativenz.govt.nz" TargetMode="External"/><Relationship Id="rId1" Type="http://schemas.openxmlformats.org/officeDocument/2006/relationships/hyperlink" Target="http://www.creativenz.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003D6-8BF8-4C76-88B1-244BB1B5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1</Pages>
  <Words>28811</Words>
  <Characters>164228</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From the Chair</vt:lpstr>
    </vt:vector>
  </TitlesOfParts>
  <Company>Creative NZ</Company>
  <LinksUpToDate>false</LinksUpToDate>
  <CharactersWithSpaces>192654</CharactersWithSpaces>
  <SharedDoc>false</SharedDoc>
  <HLinks>
    <vt:vector size="720" baseType="variant">
      <vt:variant>
        <vt:i4>1114187</vt:i4>
      </vt:variant>
      <vt:variant>
        <vt:i4>771</vt:i4>
      </vt:variant>
      <vt:variant>
        <vt:i4>0</vt:i4>
      </vt:variant>
      <vt:variant>
        <vt:i4>5</vt:i4>
      </vt:variant>
      <vt:variant>
        <vt:lpwstr>http://www.legislation.govt.nz/act/public/1994/0019/latest/link.aspx?id=DLM329630</vt:lpwstr>
      </vt:variant>
      <vt:variant>
        <vt:lpwstr>DLM329630</vt:lpwstr>
      </vt:variant>
      <vt:variant>
        <vt:i4>1114187</vt:i4>
      </vt:variant>
      <vt:variant>
        <vt:i4>768</vt:i4>
      </vt:variant>
      <vt:variant>
        <vt:i4>0</vt:i4>
      </vt:variant>
      <vt:variant>
        <vt:i4>5</vt:i4>
      </vt:variant>
      <vt:variant>
        <vt:lpwstr>http://www.legislation.govt.nz/act/public/1994/0019/latest/link.aspx?id=DLM330308</vt:lpwstr>
      </vt:variant>
      <vt:variant>
        <vt:lpwstr>DLM330308</vt:lpwstr>
      </vt:variant>
      <vt:variant>
        <vt:i4>1572925</vt:i4>
      </vt:variant>
      <vt:variant>
        <vt:i4>635</vt:i4>
      </vt:variant>
      <vt:variant>
        <vt:i4>0</vt:i4>
      </vt:variant>
      <vt:variant>
        <vt:i4>5</vt:i4>
      </vt:variant>
      <vt:variant>
        <vt:lpwstr/>
      </vt:variant>
      <vt:variant>
        <vt:lpwstr>_Toc339551287</vt:lpwstr>
      </vt:variant>
      <vt:variant>
        <vt:i4>1572925</vt:i4>
      </vt:variant>
      <vt:variant>
        <vt:i4>629</vt:i4>
      </vt:variant>
      <vt:variant>
        <vt:i4>0</vt:i4>
      </vt:variant>
      <vt:variant>
        <vt:i4>5</vt:i4>
      </vt:variant>
      <vt:variant>
        <vt:lpwstr/>
      </vt:variant>
      <vt:variant>
        <vt:lpwstr>_Toc339551286</vt:lpwstr>
      </vt:variant>
      <vt:variant>
        <vt:i4>1572925</vt:i4>
      </vt:variant>
      <vt:variant>
        <vt:i4>623</vt:i4>
      </vt:variant>
      <vt:variant>
        <vt:i4>0</vt:i4>
      </vt:variant>
      <vt:variant>
        <vt:i4>5</vt:i4>
      </vt:variant>
      <vt:variant>
        <vt:lpwstr/>
      </vt:variant>
      <vt:variant>
        <vt:lpwstr>_Toc339551285</vt:lpwstr>
      </vt:variant>
      <vt:variant>
        <vt:i4>1572925</vt:i4>
      </vt:variant>
      <vt:variant>
        <vt:i4>617</vt:i4>
      </vt:variant>
      <vt:variant>
        <vt:i4>0</vt:i4>
      </vt:variant>
      <vt:variant>
        <vt:i4>5</vt:i4>
      </vt:variant>
      <vt:variant>
        <vt:lpwstr/>
      </vt:variant>
      <vt:variant>
        <vt:lpwstr>_Toc339551284</vt:lpwstr>
      </vt:variant>
      <vt:variant>
        <vt:i4>1572925</vt:i4>
      </vt:variant>
      <vt:variant>
        <vt:i4>611</vt:i4>
      </vt:variant>
      <vt:variant>
        <vt:i4>0</vt:i4>
      </vt:variant>
      <vt:variant>
        <vt:i4>5</vt:i4>
      </vt:variant>
      <vt:variant>
        <vt:lpwstr/>
      </vt:variant>
      <vt:variant>
        <vt:lpwstr>_Toc339551283</vt:lpwstr>
      </vt:variant>
      <vt:variant>
        <vt:i4>1572925</vt:i4>
      </vt:variant>
      <vt:variant>
        <vt:i4>605</vt:i4>
      </vt:variant>
      <vt:variant>
        <vt:i4>0</vt:i4>
      </vt:variant>
      <vt:variant>
        <vt:i4>5</vt:i4>
      </vt:variant>
      <vt:variant>
        <vt:lpwstr/>
      </vt:variant>
      <vt:variant>
        <vt:lpwstr>_Toc339551282</vt:lpwstr>
      </vt:variant>
      <vt:variant>
        <vt:i4>1572925</vt:i4>
      </vt:variant>
      <vt:variant>
        <vt:i4>599</vt:i4>
      </vt:variant>
      <vt:variant>
        <vt:i4>0</vt:i4>
      </vt:variant>
      <vt:variant>
        <vt:i4>5</vt:i4>
      </vt:variant>
      <vt:variant>
        <vt:lpwstr/>
      </vt:variant>
      <vt:variant>
        <vt:lpwstr>_Toc339551281</vt:lpwstr>
      </vt:variant>
      <vt:variant>
        <vt:i4>1572925</vt:i4>
      </vt:variant>
      <vt:variant>
        <vt:i4>593</vt:i4>
      </vt:variant>
      <vt:variant>
        <vt:i4>0</vt:i4>
      </vt:variant>
      <vt:variant>
        <vt:i4>5</vt:i4>
      </vt:variant>
      <vt:variant>
        <vt:lpwstr/>
      </vt:variant>
      <vt:variant>
        <vt:lpwstr>_Toc339551280</vt:lpwstr>
      </vt:variant>
      <vt:variant>
        <vt:i4>1507389</vt:i4>
      </vt:variant>
      <vt:variant>
        <vt:i4>587</vt:i4>
      </vt:variant>
      <vt:variant>
        <vt:i4>0</vt:i4>
      </vt:variant>
      <vt:variant>
        <vt:i4>5</vt:i4>
      </vt:variant>
      <vt:variant>
        <vt:lpwstr/>
      </vt:variant>
      <vt:variant>
        <vt:lpwstr>_Toc339551279</vt:lpwstr>
      </vt:variant>
      <vt:variant>
        <vt:i4>1507389</vt:i4>
      </vt:variant>
      <vt:variant>
        <vt:i4>581</vt:i4>
      </vt:variant>
      <vt:variant>
        <vt:i4>0</vt:i4>
      </vt:variant>
      <vt:variant>
        <vt:i4>5</vt:i4>
      </vt:variant>
      <vt:variant>
        <vt:lpwstr/>
      </vt:variant>
      <vt:variant>
        <vt:lpwstr>_Toc339551278</vt:lpwstr>
      </vt:variant>
      <vt:variant>
        <vt:i4>1507389</vt:i4>
      </vt:variant>
      <vt:variant>
        <vt:i4>575</vt:i4>
      </vt:variant>
      <vt:variant>
        <vt:i4>0</vt:i4>
      </vt:variant>
      <vt:variant>
        <vt:i4>5</vt:i4>
      </vt:variant>
      <vt:variant>
        <vt:lpwstr/>
      </vt:variant>
      <vt:variant>
        <vt:lpwstr>_Toc339551277</vt:lpwstr>
      </vt:variant>
      <vt:variant>
        <vt:i4>1507389</vt:i4>
      </vt:variant>
      <vt:variant>
        <vt:i4>569</vt:i4>
      </vt:variant>
      <vt:variant>
        <vt:i4>0</vt:i4>
      </vt:variant>
      <vt:variant>
        <vt:i4>5</vt:i4>
      </vt:variant>
      <vt:variant>
        <vt:lpwstr/>
      </vt:variant>
      <vt:variant>
        <vt:lpwstr>_Toc339551276</vt:lpwstr>
      </vt:variant>
      <vt:variant>
        <vt:i4>1507389</vt:i4>
      </vt:variant>
      <vt:variant>
        <vt:i4>563</vt:i4>
      </vt:variant>
      <vt:variant>
        <vt:i4>0</vt:i4>
      </vt:variant>
      <vt:variant>
        <vt:i4>5</vt:i4>
      </vt:variant>
      <vt:variant>
        <vt:lpwstr/>
      </vt:variant>
      <vt:variant>
        <vt:lpwstr>_Toc339551275</vt:lpwstr>
      </vt:variant>
      <vt:variant>
        <vt:i4>1507389</vt:i4>
      </vt:variant>
      <vt:variant>
        <vt:i4>557</vt:i4>
      </vt:variant>
      <vt:variant>
        <vt:i4>0</vt:i4>
      </vt:variant>
      <vt:variant>
        <vt:i4>5</vt:i4>
      </vt:variant>
      <vt:variant>
        <vt:lpwstr/>
      </vt:variant>
      <vt:variant>
        <vt:lpwstr>_Toc339551274</vt:lpwstr>
      </vt:variant>
      <vt:variant>
        <vt:i4>1507389</vt:i4>
      </vt:variant>
      <vt:variant>
        <vt:i4>551</vt:i4>
      </vt:variant>
      <vt:variant>
        <vt:i4>0</vt:i4>
      </vt:variant>
      <vt:variant>
        <vt:i4>5</vt:i4>
      </vt:variant>
      <vt:variant>
        <vt:lpwstr/>
      </vt:variant>
      <vt:variant>
        <vt:lpwstr>_Toc339551273</vt:lpwstr>
      </vt:variant>
      <vt:variant>
        <vt:i4>1507389</vt:i4>
      </vt:variant>
      <vt:variant>
        <vt:i4>545</vt:i4>
      </vt:variant>
      <vt:variant>
        <vt:i4>0</vt:i4>
      </vt:variant>
      <vt:variant>
        <vt:i4>5</vt:i4>
      </vt:variant>
      <vt:variant>
        <vt:lpwstr/>
      </vt:variant>
      <vt:variant>
        <vt:lpwstr>_Toc339551272</vt:lpwstr>
      </vt:variant>
      <vt:variant>
        <vt:i4>1507389</vt:i4>
      </vt:variant>
      <vt:variant>
        <vt:i4>539</vt:i4>
      </vt:variant>
      <vt:variant>
        <vt:i4>0</vt:i4>
      </vt:variant>
      <vt:variant>
        <vt:i4>5</vt:i4>
      </vt:variant>
      <vt:variant>
        <vt:lpwstr/>
      </vt:variant>
      <vt:variant>
        <vt:lpwstr>_Toc339551271</vt:lpwstr>
      </vt:variant>
      <vt:variant>
        <vt:i4>1507389</vt:i4>
      </vt:variant>
      <vt:variant>
        <vt:i4>533</vt:i4>
      </vt:variant>
      <vt:variant>
        <vt:i4>0</vt:i4>
      </vt:variant>
      <vt:variant>
        <vt:i4>5</vt:i4>
      </vt:variant>
      <vt:variant>
        <vt:lpwstr/>
      </vt:variant>
      <vt:variant>
        <vt:lpwstr>_Toc339551270</vt:lpwstr>
      </vt:variant>
      <vt:variant>
        <vt:i4>1441853</vt:i4>
      </vt:variant>
      <vt:variant>
        <vt:i4>527</vt:i4>
      </vt:variant>
      <vt:variant>
        <vt:i4>0</vt:i4>
      </vt:variant>
      <vt:variant>
        <vt:i4>5</vt:i4>
      </vt:variant>
      <vt:variant>
        <vt:lpwstr/>
      </vt:variant>
      <vt:variant>
        <vt:lpwstr>_Toc339551269</vt:lpwstr>
      </vt:variant>
      <vt:variant>
        <vt:i4>1441853</vt:i4>
      </vt:variant>
      <vt:variant>
        <vt:i4>521</vt:i4>
      </vt:variant>
      <vt:variant>
        <vt:i4>0</vt:i4>
      </vt:variant>
      <vt:variant>
        <vt:i4>5</vt:i4>
      </vt:variant>
      <vt:variant>
        <vt:lpwstr/>
      </vt:variant>
      <vt:variant>
        <vt:lpwstr>_Toc339551268</vt:lpwstr>
      </vt:variant>
      <vt:variant>
        <vt:i4>1441853</vt:i4>
      </vt:variant>
      <vt:variant>
        <vt:i4>515</vt:i4>
      </vt:variant>
      <vt:variant>
        <vt:i4>0</vt:i4>
      </vt:variant>
      <vt:variant>
        <vt:i4>5</vt:i4>
      </vt:variant>
      <vt:variant>
        <vt:lpwstr/>
      </vt:variant>
      <vt:variant>
        <vt:lpwstr>_Toc339551267</vt:lpwstr>
      </vt:variant>
      <vt:variant>
        <vt:i4>1441853</vt:i4>
      </vt:variant>
      <vt:variant>
        <vt:i4>509</vt:i4>
      </vt:variant>
      <vt:variant>
        <vt:i4>0</vt:i4>
      </vt:variant>
      <vt:variant>
        <vt:i4>5</vt:i4>
      </vt:variant>
      <vt:variant>
        <vt:lpwstr/>
      </vt:variant>
      <vt:variant>
        <vt:lpwstr>_Toc339551266</vt:lpwstr>
      </vt:variant>
      <vt:variant>
        <vt:i4>1441853</vt:i4>
      </vt:variant>
      <vt:variant>
        <vt:i4>503</vt:i4>
      </vt:variant>
      <vt:variant>
        <vt:i4>0</vt:i4>
      </vt:variant>
      <vt:variant>
        <vt:i4>5</vt:i4>
      </vt:variant>
      <vt:variant>
        <vt:lpwstr/>
      </vt:variant>
      <vt:variant>
        <vt:lpwstr>_Toc339551265</vt:lpwstr>
      </vt:variant>
      <vt:variant>
        <vt:i4>1441853</vt:i4>
      </vt:variant>
      <vt:variant>
        <vt:i4>497</vt:i4>
      </vt:variant>
      <vt:variant>
        <vt:i4>0</vt:i4>
      </vt:variant>
      <vt:variant>
        <vt:i4>5</vt:i4>
      </vt:variant>
      <vt:variant>
        <vt:lpwstr/>
      </vt:variant>
      <vt:variant>
        <vt:lpwstr>_Toc339551264</vt:lpwstr>
      </vt:variant>
      <vt:variant>
        <vt:i4>1441853</vt:i4>
      </vt:variant>
      <vt:variant>
        <vt:i4>491</vt:i4>
      </vt:variant>
      <vt:variant>
        <vt:i4>0</vt:i4>
      </vt:variant>
      <vt:variant>
        <vt:i4>5</vt:i4>
      </vt:variant>
      <vt:variant>
        <vt:lpwstr/>
      </vt:variant>
      <vt:variant>
        <vt:lpwstr>_Toc339551263</vt:lpwstr>
      </vt:variant>
      <vt:variant>
        <vt:i4>1441853</vt:i4>
      </vt:variant>
      <vt:variant>
        <vt:i4>485</vt:i4>
      </vt:variant>
      <vt:variant>
        <vt:i4>0</vt:i4>
      </vt:variant>
      <vt:variant>
        <vt:i4>5</vt:i4>
      </vt:variant>
      <vt:variant>
        <vt:lpwstr/>
      </vt:variant>
      <vt:variant>
        <vt:lpwstr>_Toc339551262</vt:lpwstr>
      </vt:variant>
      <vt:variant>
        <vt:i4>1441853</vt:i4>
      </vt:variant>
      <vt:variant>
        <vt:i4>479</vt:i4>
      </vt:variant>
      <vt:variant>
        <vt:i4>0</vt:i4>
      </vt:variant>
      <vt:variant>
        <vt:i4>5</vt:i4>
      </vt:variant>
      <vt:variant>
        <vt:lpwstr/>
      </vt:variant>
      <vt:variant>
        <vt:lpwstr>_Toc339551261</vt:lpwstr>
      </vt:variant>
      <vt:variant>
        <vt:i4>1441853</vt:i4>
      </vt:variant>
      <vt:variant>
        <vt:i4>473</vt:i4>
      </vt:variant>
      <vt:variant>
        <vt:i4>0</vt:i4>
      </vt:variant>
      <vt:variant>
        <vt:i4>5</vt:i4>
      </vt:variant>
      <vt:variant>
        <vt:lpwstr/>
      </vt:variant>
      <vt:variant>
        <vt:lpwstr>_Toc339551260</vt:lpwstr>
      </vt:variant>
      <vt:variant>
        <vt:i4>1376317</vt:i4>
      </vt:variant>
      <vt:variant>
        <vt:i4>467</vt:i4>
      </vt:variant>
      <vt:variant>
        <vt:i4>0</vt:i4>
      </vt:variant>
      <vt:variant>
        <vt:i4>5</vt:i4>
      </vt:variant>
      <vt:variant>
        <vt:lpwstr/>
      </vt:variant>
      <vt:variant>
        <vt:lpwstr>_Toc339551259</vt:lpwstr>
      </vt:variant>
      <vt:variant>
        <vt:i4>1376317</vt:i4>
      </vt:variant>
      <vt:variant>
        <vt:i4>461</vt:i4>
      </vt:variant>
      <vt:variant>
        <vt:i4>0</vt:i4>
      </vt:variant>
      <vt:variant>
        <vt:i4>5</vt:i4>
      </vt:variant>
      <vt:variant>
        <vt:lpwstr/>
      </vt:variant>
      <vt:variant>
        <vt:lpwstr>_Toc339551258</vt:lpwstr>
      </vt:variant>
      <vt:variant>
        <vt:i4>1376317</vt:i4>
      </vt:variant>
      <vt:variant>
        <vt:i4>455</vt:i4>
      </vt:variant>
      <vt:variant>
        <vt:i4>0</vt:i4>
      </vt:variant>
      <vt:variant>
        <vt:i4>5</vt:i4>
      </vt:variant>
      <vt:variant>
        <vt:lpwstr/>
      </vt:variant>
      <vt:variant>
        <vt:lpwstr>_Toc339551257</vt:lpwstr>
      </vt:variant>
      <vt:variant>
        <vt:i4>1376317</vt:i4>
      </vt:variant>
      <vt:variant>
        <vt:i4>449</vt:i4>
      </vt:variant>
      <vt:variant>
        <vt:i4>0</vt:i4>
      </vt:variant>
      <vt:variant>
        <vt:i4>5</vt:i4>
      </vt:variant>
      <vt:variant>
        <vt:lpwstr/>
      </vt:variant>
      <vt:variant>
        <vt:lpwstr>_Toc339551256</vt:lpwstr>
      </vt:variant>
      <vt:variant>
        <vt:i4>1376317</vt:i4>
      </vt:variant>
      <vt:variant>
        <vt:i4>443</vt:i4>
      </vt:variant>
      <vt:variant>
        <vt:i4>0</vt:i4>
      </vt:variant>
      <vt:variant>
        <vt:i4>5</vt:i4>
      </vt:variant>
      <vt:variant>
        <vt:lpwstr/>
      </vt:variant>
      <vt:variant>
        <vt:lpwstr>_Toc339551255</vt:lpwstr>
      </vt:variant>
      <vt:variant>
        <vt:i4>1376317</vt:i4>
      </vt:variant>
      <vt:variant>
        <vt:i4>437</vt:i4>
      </vt:variant>
      <vt:variant>
        <vt:i4>0</vt:i4>
      </vt:variant>
      <vt:variant>
        <vt:i4>5</vt:i4>
      </vt:variant>
      <vt:variant>
        <vt:lpwstr/>
      </vt:variant>
      <vt:variant>
        <vt:lpwstr>_Toc339551254</vt:lpwstr>
      </vt:variant>
      <vt:variant>
        <vt:i4>1376317</vt:i4>
      </vt:variant>
      <vt:variant>
        <vt:i4>431</vt:i4>
      </vt:variant>
      <vt:variant>
        <vt:i4>0</vt:i4>
      </vt:variant>
      <vt:variant>
        <vt:i4>5</vt:i4>
      </vt:variant>
      <vt:variant>
        <vt:lpwstr/>
      </vt:variant>
      <vt:variant>
        <vt:lpwstr>_Toc339551253</vt:lpwstr>
      </vt:variant>
      <vt:variant>
        <vt:i4>1376317</vt:i4>
      </vt:variant>
      <vt:variant>
        <vt:i4>425</vt:i4>
      </vt:variant>
      <vt:variant>
        <vt:i4>0</vt:i4>
      </vt:variant>
      <vt:variant>
        <vt:i4>5</vt:i4>
      </vt:variant>
      <vt:variant>
        <vt:lpwstr/>
      </vt:variant>
      <vt:variant>
        <vt:lpwstr>_Toc339551252</vt:lpwstr>
      </vt:variant>
      <vt:variant>
        <vt:i4>1376317</vt:i4>
      </vt:variant>
      <vt:variant>
        <vt:i4>419</vt:i4>
      </vt:variant>
      <vt:variant>
        <vt:i4>0</vt:i4>
      </vt:variant>
      <vt:variant>
        <vt:i4>5</vt:i4>
      </vt:variant>
      <vt:variant>
        <vt:lpwstr/>
      </vt:variant>
      <vt:variant>
        <vt:lpwstr>_Toc339551251</vt:lpwstr>
      </vt:variant>
      <vt:variant>
        <vt:i4>1376317</vt:i4>
      </vt:variant>
      <vt:variant>
        <vt:i4>413</vt:i4>
      </vt:variant>
      <vt:variant>
        <vt:i4>0</vt:i4>
      </vt:variant>
      <vt:variant>
        <vt:i4>5</vt:i4>
      </vt:variant>
      <vt:variant>
        <vt:lpwstr/>
      </vt:variant>
      <vt:variant>
        <vt:lpwstr>_Toc339551250</vt:lpwstr>
      </vt:variant>
      <vt:variant>
        <vt:i4>1310781</vt:i4>
      </vt:variant>
      <vt:variant>
        <vt:i4>407</vt:i4>
      </vt:variant>
      <vt:variant>
        <vt:i4>0</vt:i4>
      </vt:variant>
      <vt:variant>
        <vt:i4>5</vt:i4>
      </vt:variant>
      <vt:variant>
        <vt:lpwstr/>
      </vt:variant>
      <vt:variant>
        <vt:lpwstr>_Toc339551249</vt:lpwstr>
      </vt:variant>
      <vt:variant>
        <vt:i4>1310781</vt:i4>
      </vt:variant>
      <vt:variant>
        <vt:i4>401</vt:i4>
      </vt:variant>
      <vt:variant>
        <vt:i4>0</vt:i4>
      </vt:variant>
      <vt:variant>
        <vt:i4>5</vt:i4>
      </vt:variant>
      <vt:variant>
        <vt:lpwstr/>
      </vt:variant>
      <vt:variant>
        <vt:lpwstr>_Toc339551248</vt:lpwstr>
      </vt:variant>
      <vt:variant>
        <vt:i4>1310781</vt:i4>
      </vt:variant>
      <vt:variant>
        <vt:i4>395</vt:i4>
      </vt:variant>
      <vt:variant>
        <vt:i4>0</vt:i4>
      </vt:variant>
      <vt:variant>
        <vt:i4>5</vt:i4>
      </vt:variant>
      <vt:variant>
        <vt:lpwstr/>
      </vt:variant>
      <vt:variant>
        <vt:lpwstr>_Toc339551247</vt:lpwstr>
      </vt:variant>
      <vt:variant>
        <vt:i4>1310781</vt:i4>
      </vt:variant>
      <vt:variant>
        <vt:i4>389</vt:i4>
      </vt:variant>
      <vt:variant>
        <vt:i4>0</vt:i4>
      </vt:variant>
      <vt:variant>
        <vt:i4>5</vt:i4>
      </vt:variant>
      <vt:variant>
        <vt:lpwstr/>
      </vt:variant>
      <vt:variant>
        <vt:lpwstr>_Toc339551246</vt:lpwstr>
      </vt:variant>
      <vt:variant>
        <vt:i4>1310781</vt:i4>
      </vt:variant>
      <vt:variant>
        <vt:i4>383</vt:i4>
      </vt:variant>
      <vt:variant>
        <vt:i4>0</vt:i4>
      </vt:variant>
      <vt:variant>
        <vt:i4>5</vt:i4>
      </vt:variant>
      <vt:variant>
        <vt:lpwstr/>
      </vt:variant>
      <vt:variant>
        <vt:lpwstr>_Toc339551245</vt:lpwstr>
      </vt:variant>
      <vt:variant>
        <vt:i4>1310781</vt:i4>
      </vt:variant>
      <vt:variant>
        <vt:i4>377</vt:i4>
      </vt:variant>
      <vt:variant>
        <vt:i4>0</vt:i4>
      </vt:variant>
      <vt:variant>
        <vt:i4>5</vt:i4>
      </vt:variant>
      <vt:variant>
        <vt:lpwstr/>
      </vt:variant>
      <vt:variant>
        <vt:lpwstr>_Toc339551244</vt:lpwstr>
      </vt:variant>
      <vt:variant>
        <vt:i4>1310781</vt:i4>
      </vt:variant>
      <vt:variant>
        <vt:i4>371</vt:i4>
      </vt:variant>
      <vt:variant>
        <vt:i4>0</vt:i4>
      </vt:variant>
      <vt:variant>
        <vt:i4>5</vt:i4>
      </vt:variant>
      <vt:variant>
        <vt:lpwstr/>
      </vt:variant>
      <vt:variant>
        <vt:lpwstr>_Toc339551243</vt:lpwstr>
      </vt:variant>
      <vt:variant>
        <vt:i4>1310781</vt:i4>
      </vt:variant>
      <vt:variant>
        <vt:i4>365</vt:i4>
      </vt:variant>
      <vt:variant>
        <vt:i4>0</vt:i4>
      </vt:variant>
      <vt:variant>
        <vt:i4>5</vt:i4>
      </vt:variant>
      <vt:variant>
        <vt:lpwstr/>
      </vt:variant>
      <vt:variant>
        <vt:lpwstr>_Toc339551242</vt:lpwstr>
      </vt:variant>
      <vt:variant>
        <vt:i4>1310781</vt:i4>
      </vt:variant>
      <vt:variant>
        <vt:i4>359</vt:i4>
      </vt:variant>
      <vt:variant>
        <vt:i4>0</vt:i4>
      </vt:variant>
      <vt:variant>
        <vt:i4>5</vt:i4>
      </vt:variant>
      <vt:variant>
        <vt:lpwstr/>
      </vt:variant>
      <vt:variant>
        <vt:lpwstr>_Toc339551241</vt:lpwstr>
      </vt:variant>
      <vt:variant>
        <vt:i4>1310781</vt:i4>
      </vt:variant>
      <vt:variant>
        <vt:i4>353</vt:i4>
      </vt:variant>
      <vt:variant>
        <vt:i4>0</vt:i4>
      </vt:variant>
      <vt:variant>
        <vt:i4>5</vt:i4>
      </vt:variant>
      <vt:variant>
        <vt:lpwstr/>
      </vt:variant>
      <vt:variant>
        <vt:lpwstr>_Toc339551240</vt:lpwstr>
      </vt:variant>
      <vt:variant>
        <vt:i4>1245245</vt:i4>
      </vt:variant>
      <vt:variant>
        <vt:i4>347</vt:i4>
      </vt:variant>
      <vt:variant>
        <vt:i4>0</vt:i4>
      </vt:variant>
      <vt:variant>
        <vt:i4>5</vt:i4>
      </vt:variant>
      <vt:variant>
        <vt:lpwstr/>
      </vt:variant>
      <vt:variant>
        <vt:lpwstr>_Toc339551239</vt:lpwstr>
      </vt:variant>
      <vt:variant>
        <vt:i4>1245245</vt:i4>
      </vt:variant>
      <vt:variant>
        <vt:i4>341</vt:i4>
      </vt:variant>
      <vt:variant>
        <vt:i4>0</vt:i4>
      </vt:variant>
      <vt:variant>
        <vt:i4>5</vt:i4>
      </vt:variant>
      <vt:variant>
        <vt:lpwstr/>
      </vt:variant>
      <vt:variant>
        <vt:lpwstr>_Toc339551238</vt:lpwstr>
      </vt:variant>
      <vt:variant>
        <vt:i4>1245245</vt:i4>
      </vt:variant>
      <vt:variant>
        <vt:i4>335</vt:i4>
      </vt:variant>
      <vt:variant>
        <vt:i4>0</vt:i4>
      </vt:variant>
      <vt:variant>
        <vt:i4>5</vt:i4>
      </vt:variant>
      <vt:variant>
        <vt:lpwstr/>
      </vt:variant>
      <vt:variant>
        <vt:lpwstr>_Toc339551237</vt:lpwstr>
      </vt:variant>
      <vt:variant>
        <vt:i4>1245245</vt:i4>
      </vt:variant>
      <vt:variant>
        <vt:i4>329</vt:i4>
      </vt:variant>
      <vt:variant>
        <vt:i4>0</vt:i4>
      </vt:variant>
      <vt:variant>
        <vt:i4>5</vt:i4>
      </vt:variant>
      <vt:variant>
        <vt:lpwstr/>
      </vt:variant>
      <vt:variant>
        <vt:lpwstr>_Toc339551236</vt:lpwstr>
      </vt:variant>
      <vt:variant>
        <vt:i4>1245245</vt:i4>
      </vt:variant>
      <vt:variant>
        <vt:i4>323</vt:i4>
      </vt:variant>
      <vt:variant>
        <vt:i4>0</vt:i4>
      </vt:variant>
      <vt:variant>
        <vt:i4>5</vt:i4>
      </vt:variant>
      <vt:variant>
        <vt:lpwstr/>
      </vt:variant>
      <vt:variant>
        <vt:lpwstr>_Toc339551235</vt:lpwstr>
      </vt:variant>
      <vt:variant>
        <vt:i4>1245245</vt:i4>
      </vt:variant>
      <vt:variant>
        <vt:i4>317</vt:i4>
      </vt:variant>
      <vt:variant>
        <vt:i4>0</vt:i4>
      </vt:variant>
      <vt:variant>
        <vt:i4>5</vt:i4>
      </vt:variant>
      <vt:variant>
        <vt:lpwstr/>
      </vt:variant>
      <vt:variant>
        <vt:lpwstr>_Toc339551234</vt:lpwstr>
      </vt:variant>
      <vt:variant>
        <vt:i4>1245245</vt:i4>
      </vt:variant>
      <vt:variant>
        <vt:i4>311</vt:i4>
      </vt:variant>
      <vt:variant>
        <vt:i4>0</vt:i4>
      </vt:variant>
      <vt:variant>
        <vt:i4>5</vt:i4>
      </vt:variant>
      <vt:variant>
        <vt:lpwstr/>
      </vt:variant>
      <vt:variant>
        <vt:lpwstr>_Toc339551233</vt:lpwstr>
      </vt:variant>
      <vt:variant>
        <vt:i4>1245245</vt:i4>
      </vt:variant>
      <vt:variant>
        <vt:i4>305</vt:i4>
      </vt:variant>
      <vt:variant>
        <vt:i4>0</vt:i4>
      </vt:variant>
      <vt:variant>
        <vt:i4>5</vt:i4>
      </vt:variant>
      <vt:variant>
        <vt:lpwstr/>
      </vt:variant>
      <vt:variant>
        <vt:lpwstr>_Toc339551232</vt:lpwstr>
      </vt:variant>
      <vt:variant>
        <vt:i4>1245245</vt:i4>
      </vt:variant>
      <vt:variant>
        <vt:i4>299</vt:i4>
      </vt:variant>
      <vt:variant>
        <vt:i4>0</vt:i4>
      </vt:variant>
      <vt:variant>
        <vt:i4>5</vt:i4>
      </vt:variant>
      <vt:variant>
        <vt:lpwstr/>
      </vt:variant>
      <vt:variant>
        <vt:lpwstr>_Toc339551231</vt:lpwstr>
      </vt:variant>
      <vt:variant>
        <vt:i4>1245245</vt:i4>
      </vt:variant>
      <vt:variant>
        <vt:i4>293</vt:i4>
      </vt:variant>
      <vt:variant>
        <vt:i4>0</vt:i4>
      </vt:variant>
      <vt:variant>
        <vt:i4>5</vt:i4>
      </vt:variant>
      <vt:variant>
        <vt:lpwstr/>
      </vt:variant>
      <vt:variant>
        <vt:lpwstr>_Toc339551230</vt:lpwstr>
      </vt:variant>
      <vt:variant>
        <vt:i4>1179709</vt:i4>
      </vt:variant>
      <vt:variant>
        <vt:i4>287</vt:i4>
      </vt:variant>
      <vt:variant>
        <vt:i4>0</vt:i4>
      </vt:variant>
      <vt:variant>
        <vt:i4>5</vt:i4>
      </vt:variant>
      <vt:variant>
        <vt:lpwstr/>
      </vt:variant>
      <vt:variant>
        <vt:lpwstr>_Toc339551229</vt:lpwstr>
      </vt:variant>
      <vt:variant>
        <vt:i4>1179709</vt:i4>
      </vt:variant>
      <vt:variant>
        <vt:i4>281</vt:i4>
      </vt:variant>
      <vt:variant>
        <vt:i4>0</vt:i4>
      </vt:variant>
      <vt:variant>
        <vt:i4>5</vt:i4>
      </vt:variant>
      <vt:variant>
        <vt:lpwstr/>
      </vt:variant>
      <vt:variant>
        <vt:lpwstr>_Toc339551228</vt:lpwstr>
      </vt:variant>
      <vt:variant>
        <vt:i4>1179709</vt:i4>
      </vt:variant>
      <vt:variant>
        <vt:i4>275</vt:i4>
      </vt:variant>
      <vt:variant>
        <vt:i4>0</vt:i4>
      </vt:variant>
      <vt:variant>
        <vt:i4>5</vt:i4>
      </vt:variant>
      <vt:variant>
        <vt:lpwstr/>
      </vt:variant>
      <vt:variant>
        <vt:lpwstr>_Toc339551227</vt:lpwstr>
      </vt:variant>
      <vt:variant>
        <vt:i4>1179709</vt:i4>
      </vt:variant>
      <vt:variant>
        <vt:i4>269</vt:i4>
      </vt:variant>
      <vt:variant>
        <vt:i4>0</vt:i4>
      </vt:variant>
      <vt:variant>
        <vt:i4>5</vt:i4>
      </vt:variant>
      <vt:variant>
        <vt:lpwstr/>
      </vt:variant>
      <vt:variant>
        <vt:lpwstr>_Toc339551226</vt:lpwstr>
      </vt:variant>
      <vt:variant>
        <vt:i4>1179709</vt:i4>
      </vt:variant>
      <vt:variant>
        <vt:i4>263</vt:i4>
      </vt:variant>
      <vt:variant>
        <vt:i4>0</vt:i4>
      </vt:variant>
      <vt:variant>
        <vt:i4>5</vt:i4>
      </vt:variant>
      <vt:variant>
        <vt:lpwstr/>
      </vt:variant>
      <vt:variant>
        <vt:lpwstr>_Toc339551225</vt:lpwstr>
      </vt:variant>
      <vt:variant>
        <vt:i4>1179709</vt:i4>
      </vt:variant>
      <vt:variant>
        <vt:i4>257</vt:i4>
      </vt:variant>
      <vt:variant>
        <vt:i4>0</vt:i4>
      </vt:variant>
      <vt:variant>
        <vt:i4>5</vt:i4>
      </vt:variant>
      <vt:variant>
        <vt:lpwstr/>
      </vt:variant>
      <vt:variant>
        <vt:lpwstr>_Toc339551224</vt:lpwstr>
      </vt:variant>
      <vt:variant>
        <vt:i4>1179709</vt:i4>
      </vt:variant>
      <vt:variant>
        <vt:i4>251</vt:i4>
      </vt:variant>
      <vt:variant>
        <vt:i4>0</vt:i4>
      </vt:variant>
      <vt:variant>
        <vt:i4>5</vt:i4>
      </vt:variant>
      <vt:variant>
        <vt:lpwstr/>
      </vt:variant>
      <vt:variant>
        <vt:lpwstr>_Toc339551223</vt:lpwstr>
      </vt:variant>
      <vt:variant>
        <vt:i4>1179709</vt:i4>
      </vt:variant>
      <vt:variant>
        <vt:i4>245</vt:i4>
      </vt:variant>
      <vt:variant>
        <vt:i4>0</vt:i4>
      </vt:variant>
      <vt:variant>
        <vt:i4>5</vt:i4>
      </vt:variant>
      <vt:variant>
        <vt:lpwstr/>
      </vt:variant>
      <vt:variant>
        <vt:lpwstr>_Toc339551222</vt:lpwstr>
      </vt:variant>
      <vt:variant>
        <vt:i4>1179709</vt:i4>
      </vt:variant>
      <vt:variant>
        <vt:i4>239</vt:i4>
      </vt:variant>
      <vt:variant>
        <vt:i4>0</vt:i4>
      </vt:variant>
      <vt:variant>
        <vt:i4>5</vt:i4>
      </vt:variant>
      <vt:variant>
        <vt:lpwstr/>
      </vt:variant>
      <vt:variant>
        <vt:lpwstr>_Toc339551221</vt:lpwstr>
      </vt:variant>
      <vt:variant>
        <vt:i4>1179709</vt:i4>
      </vt:variant>
      <vt:variant>
        <vt:i4>233</vt:i4>
      </vt:variant>
      <vt:variant>
        <vt:i4>0</vt:i4>
      </vt:variant>
      <vt:variant>
        <vt:i4>5</vt:i4>
      </vt:variant>
      <vt:variant>
        <vt:lpwstr/>
      </vt:variant>
      <vt:variant>
        <vt:lpwstr>_Toc339551220</vt:lpwstr>
      </vt:variant>
      <vt:variant>
        <vt:i4>1114173</vt:i4>
      </vt:variant>
      <vt:variant>
        <vt:i4>227</vt:i4>
      </vt:variant>
      <vt:variant>
        <vt:i4>0</vt:i4>
      </vt:variant>
      <vt:variant>
        <vt:i4>5</vt:i4>
      </vt:variant>
      <vt:variant>
        <vt:lpwstr/>
      </vt:variant>
      <vt:variant>
        <vt:lpwstr>_Toc339551219</vt:lpwstr>
      </vt:variant>
      <vt:variant>
        <vt:i4>1114173</vt:i4>
      </vt:variant>
      <vt:variant>
        <vt:i4>221</vt:i4>
      </vt:variant>
      <vt:variant>
        <vt:i4>0</vt:i4>
      </vt:variant>
      <vt:variant>
        <vt:i4>5</vt:i4>
      </vt:variant>
      <vt:variant>
        <vt:lpwstr/>
      </vt:variant>
      <vt:variant>
        <vt:lpwstr>_Toc339551218</vt:lpwstr>
      </vt:variant>
      <vt:variant>
        <vt:i4>1114173</vt:i4>
      </vt:variant>
      <vt:variant>
        <vt:i4>215</vt:i4>
      </vt:variant>
      <vt:variant>
        <vt:i4>0</vt:i4>
      </vt:variant>
      <vt:variant>
        <vt:i4>5</vt:i4>
      </vt:variant>
      <vt:variant>
        <vt:lpwstr/>
      </vt:variant>
      <vt:variant>
        <vt:lpwstr>_Toc339551217</vt:lpwstr>
      </vt:variant>
      <vt:variant>
        <vt:i4>1114173</vt:i4>
      </vt:variant>
      <vt:variant>
        <vt:i4>209</vt:i4>
      </vt:variant>
      <vt:variant>
        <vt:i4>0</vt:i4>
      </vt:variant>
      <vt:variant>
        <vt:i4>5</vt:i4>
      </vt:variant>
      <vt:variant>
        <vt:lpwstr/>
      </vt:variant>
      <vt:variant>
        <vt:lpwstr>_Toc339551216</vt:lpwstr>
      </vt:variant>
      <vt:variant>
        <vt:i4>1114173</vt:i4>
      </vt:variant>
      <vt:variant>
        <vt:i4>203</vt:i4>
      </vt:variant>
      <vt:variant>
        <vt:i4>0</vt:i4>
      </vt:variant>
      <vt:variant>
        <vt:i4>5</vt:i4>
      </vt:variant>
      <vt:variant>
        <vt:lpwstr/>
      </vt:variant>
      <vt:variant>
        <vt:lpwstr>_Toc339551215</vt:lpwstr>
      </vt:variant>
      <vt:variant>
        <vt:i4>1114173</vt:i4>
      </vt:variant>
      <vt:variant>
        <vt:i4>197</vt:i4>
      </vt:variant>
      <vt:variant>
        <vt:i4>0</vt:i4>
      </vt:variant>
      <vt:variant>
        <vt:i4>5</vt:i4>
      </vt:variant>
      <vt:variant>
        <vt:lpwstr/>
      </vt:variant>
      <vt:variant>
        <vt:lpwstr>_Toc339551214</vt:lpwstr>
      </vt:variant>
      <vt:variant>
        <vt:i4>1114173</vt:i4>
      </vt:variant>
      <vt:variant>
        <vt:i4>191</vt:i4>
      </vt:variant>
      <vt:variant>
        <vt:i4>0</vt:i4>
      </vt:variant>
      <vt:variant>
        <vt:i4>5</vt:i4>
      </vt:variant>
      <vt:variant>
        <vt:lpwstr/>
      </vt:variant>
      <vt:variant>
        <vt:lpwstr>_Toc339551213</vt:lpwstr>
      </vt:variant>
      <vt:variant>
        <vt:i4>1114173</vt:i4>
      </vt:variant>
      <vt:variant>
        <vt:i4>185</vt:i4>
      </vt:variant>
      <vt:variant>
        <vt:i4>0</vt:i4>
      </vt:variant>
      <vt:variant>
        <vt:i4>5</vt:i4>
      </vt:variant>
      <vt:variant>
        <vt:lpwstr/>
      </vt:variant>
      <vt:variant>
        <vt:lpwstr>_Toc339551212</vt:lpwstr>
      </vt:variant>
      <vt:variant>
        <vt:i4>1114173</vt:i4>
      </vt:variant>
      <vt:variant>
        <vt:i4>179</vt:i4>
      </vt:variant>
      <vt:variant>
        <vt:i4>0</vt:i4>
      </vt:variant>
      <vt:variant>
        <vt:i4>5</vt:i4>
      </vt:variant>
      <vt:variant>
        <vt:lpwstr/>
      </vt:variant>
      <vt:variant>
        <vt:lpwstr>_Toc339551211</vt:lpwstr>
      </vt:variant>
      <vt:variant>
        <vt:i4>1114173</vt:i4>
      </vt:variant>
      <vt:variant>
        <vt:i4>173</vt:i4>
      </vt:variant>
      <vt:variant>
        <vt:i4>0</vt:i4>
      </vt:variant>
      <vt:variant>
        <vt:i4>5</vt:i4>
      </vt:variant>
      <vt:variant>
        <vt:lpwstr/>
      </vt:variant>
      <vt:variant>
        <vt:lpwstr>_Toc339551210</vt:lpwstr>
      </vt:variant>
      <vt:variant>
        <vt:i4>1048637</vt:i4>
      </vt:variant>
      <vt:variant>
        <vt:i4>167</vt:i4>
      </vt:variant>
      <vt:variant>
        <vt:i4>0</vt:i4>
      </vt:variant>
      <vt:variant>
        <vt:i4>5</vt:i4>
      </vt:variant>
      <vt:variant>
        <vt:lpwstr/>
      </vt:variant>
      <vt:variant>
        <vt:lpwstr>_Toc339551209</vt:lpwstr>
      </vt:variant>
      <vt:variant>
        <vt:i4>1048637</vt:i4>
      </vt:variant>
      <vt:variant>
        <vt:i4>161</vt:i4>
      </vt:variant>
      <vt:variant>
        <vt:i4>0</vt:i4>
      </vt:variant>
      <vt:variant>
        <vt:i4>5</vt:i4>
      </vt:variant>
      <vt:variant>
        <vt:lpwstr/>
      </vt:variant>
      <vt:variant>
        <vt:lpwstr>_Toc339551208</vt:lpwstr>
      </vt:variant>
      <vt:variant>
        <vt:i4>1048637</vt:i4>
      </vt:variant>
      <vt:variant>
        <vt:i4>155</vt:i4>
      </vt:variant>
      <vt:variant>
        <vt:i4>0</vt:i4>
      </vt:variant>
      <vt:variant>
        <vt:i4>5</vt:i4>
      </vt:variant>
      <vt:variant>
        <vt:lpwstr/>
      </vt:variant>
      <vt:variant>
        <vt:lpwstr>_Toc339551207</vt:lpwstr>
      </vt:variant>
      <vt:variant>
        <vt:i4>1048637</vt:i4>
      </vt:variant>
      <vt:variant>
        <vt:i4>149</vt:i4>
      </vt:variant>
      <vt:variant>
        <vt:i4>0</vt:i4>
      </vt:variant>
      <vt:variant>
        <vt:i4>5</vt:i4>
      </vt:variant>
      <vt:variant>
        <vt:lpwstr/>
      </vt:variant>
      <vt:variant>
        <vt:lpwstr>_Toc339551206</vt:lpwstr>
      </vt:variant>
      <vt:variant>
        <vt:i4>1048637</vt:i4>
      </vt:variant>
      <vt:variant>
        <vt:i4>143</vt:i4>
      </vt:variant>
      <vt:variant>
        <vt:i4>0</vt:i4>
      </vt:variant>
      <vt:variant>
        <vt:i4>5</vt:i4>
      </vt:variant>
      <vt:variant>
        <vt:lpwstr/>
      </vt:variant>
      <vt:variant>
        <vt:lpwstr>_Toc339551205</vt:lpwstr>
      </vt:variant>
      <vt:variant>
        <vt:i4>1048637</vt:i4>
      </vt:variant>
      <vt:variant>
        <vt:i4>137</vt:i4>
      </vt:variant>
      <vt:variant>
        <vt:i4>0</vt:i4>
      </vt:variant>
      <vt:variant>
        <vt:i4>5</vt:i4>
      </vt:variant>
      <vt:variant>
        <vt:lpwstr/>
      </vt:variant>
      <vt:variant>
        <vt:lpwstr>_Toc339551204</vt:lpwstr>
      </vt:variant>
      <vt:variant>
        <vt:i4>1048637</vt:i4>
      </vt:variant>
      <vt:variant>
        <vt:i4>131</vt:i4>
      </vt:variant>
      <vt:variant>
        <vt:i4>0</vt:i4>
      </vt:variant>
      <vt:variant>
        <vt:i4>5</vt:i4>
      </vt:variant>
      <vt:variant>
        <vt:lpwstr/>
      </vt:variant>
      <vt:variant>
        <vt:lpwstr>_Toc339551203</vt:lpwstr>
      </vt:variant>
      <vt:variant>
        <vt:i4>1048637</vt:i4>
      </vt:variant>
      <vt:variant>
        <vt:i4>125</vt:i4>
      </vt:variant>
      <vt:variant>
        <vt:i4>0</vt:i4>
      </vt:variant>
      <vt:variant>
        <vt:i4>5</vt:i4>
      </vt:variant>
      <vt:variant>
        <vt:lpwstr/>
      </vt:variant>
      <vt:variant>
        <vt:lpwstr>_Toc339551202</vt:lpwstr>
      </vt:variant>
      <vt:variant>
        <vt:i4>1048637</vt:i4>
      </vt:variant>
      <vt:variant>
        <vt:i4>119</vt:i4>
      </vt:variant>
      <vt:variant>
        <vt:i4>0</vt:i4>
      </vt:variant>
      <vt:variant>
        <vt:i4>5</vt:i4>
      </vt:variant>
      <vt:variant>
        <vt:lpwstr/>
      </vt:variant>
      <vt:variant>
        <vt:lpwstr>_Toc339551201</vt:lpwstr>
      </vt:variant>
      <vt:variant>
        <vt:i4>1048637</vt:i4>
      </vt:variant>
      <vt:variant>
        <vt:i4>113</vt:i4>
      </vt:variant>
      <vt:variant>
        <vt:i4>0</vt:i4>
      </vt:variant>
      <vt:variant>
        <vt:i4>5</vt:i4>
      </vt:variant>
      <vt:variant>
        <vt:lpwstr/>
      </vt:variant>
      <vt:variant>
        <vt:lpwstr>_Toc339551200</vt:lpwstr>
      </vt:variant>
      <vt:variant>
        <vt:i4>1638462</vt:i4>
      </vt:variant>
      <vt:variant>
        <vt:i4>107</vt:i4>
      </vt:variant>
      <vt:variant>
        <vt:i4>0</vt:i4>
      </vt:variant>
      <vt:variant>
        <vt:i4>5</vt:i4>
      </vt:variant>
      <vt:variant>
        <vt:lpwstr/>
      </vt:variant>
      <vt:variant>
        <vt:lpwstr>_Toc339551199</vt:lpwstr>
      </vt:variant>
      <vt:variant>
        <vt:i4>1638462</vt:i4>
      </vt:variant>
      <vt:variant>
        <vt:i4>101</vt:i4>
      </vt:variant>
      <vt:variant>
        <vt:i4>0</vt:i4>
      </vt:variant>
      <vt:variant>
        <vt:i4>5</vt:i4>
      </vt:variant>
      <vt:variant>
        <vt:lpwstr/>
      </vt:variant>
      <vt:variant>
        <vt:lpwstr>_Toc339551198</vt:lpwstr>
      </vt:variant>
      <vt:variant>
        <vt:i4>1638462</vt:i4>
      </vt:variant>
      <vt:variant>
        <vt:i4>95</vt:i4>
      </vt:variant>
      <vt:variant>
        <vt:i4>0</vt:i4>
      </vt:variant>
      <vt:variant>
        <vt:i4>5</vt:i4>
      </vt:variant>
      <vt:variant>
        <vt:lpwstr/>
      </vt:variant>
      <vt:variant>
        <vt:lpwstr>_Toc339551197</vt:lpwstr>
      </vt:variant>
      <vt:variant>
        <vt:i4>1638462</vt:i4>
      </vt:variant>
      <vt:variant>
        <vt:i4>89</vt:i4>
      </vt:variant>
      <vt:variant>
        <vt:i4>0</vt:i4>
      </vt:variant>
      <vt:variant>
        <vt:i4>5</vt:i4>
      </vt:variant>
      <vt:variant>
        <vt:lpwstr/>
      </vt:variant>
      <vt:variant>
        <vt:lpwstr>_Toc339551196</vt:lpwstr>
      </vt:variant>
      <vt:variant>
        <vt:i4>1638462</vt:i4>
      </vt:variant>
      <vt:variant>
        <vt:i4>83</vt:i4>
      </vt:variant>
      <vt:variant>
        <vt:i4>0</vt:i4>
      </vt:variant>
      <vt:variant>
        <vt:i4>5</vt:i4>
      </vt:variant>
      <vt:variant>
        <vt:lpwstr/>
      </vt:variant>
      <vt:variant>
        <vt:lpwstr>_Toc339551195</vt:lpwstr>
      </vt:variant>
      <vt:variant>
        <vt:i4>1638462</vt:i4>
      </vt:variant>
      <vt:variant>
        <vt:i4>77</vt:i4>
      </vt:variant>
      <vt:variant>
        <vt:i4>0</vt:i4>
      </vt:variant>
      <vt:variant>
        <vt:i4>5</vt:i4>
      </vt:variant>
      <vt:variant>
        <vt:lpwstr/>
      </vt:variant>
      <vt:variant>
        <vt:lpwstr>_Toc339551194</vt:lpwstr>
      </vt:variant>
      <vt:variant>
        <vt:i4>1638462</vt:i4>
      </vt:variant>
      <vt:variant>
        <vt:i4>71</vt:i4>
      </vt:variant>
      <vt:variant>
        <vt:i4>0</vt:i4>
      </vt:variant>
      <vt:variant>
        <vt:i4>5</vt:i4>
      </vt:variant>
      <vt:variant>
        <vt:lpwstr/>
      </vt:variant>
      <vt:variant>
        <vt:lpwstr>_Toc339551193</vt:lpwstr>
      </vt:variant>
      <vt:variant>
        <vt:i4>1638462</vt:i4>
      </vt:variant>
      <vt:variant>
        <vt:i4>65</vt:i4>
      </vt:variant>
      <vt:variant>
        <vt:i4>0</vt:i4>
      </vt:variant>
      <vt:variant>
        <vt:i4>5</vt:i4>
      </vt:variant>
      <vt:variant>
        <vt:lpwstr/>
      </vt:variant>
      <vt:variant>
        <vt:lpwstr>_Toc339551192</vt:lpwstr>
      </vt:variant>
      <vt:variant>
        <vt:i4>1638462</vt:i4>
      </vt:variant>
      <vt:variant>
        <vt:i4>59</vt:i4>
      </vt:variant>
      <vt:variant>
        <vt:i4>0</vt:i4>
      </vt:variant>
      <vt:variant>
        <vt:i4>5</vt:i4>
      </vt:variant>
      <vt:variant>
        <vt:lpwstr/>
      </vt:variant>
      <vt:variant>
        <vt:lpwstr>_Toc339551191</vt:lpwstr>
      </vt:variant>
      <vt:variant>
        <vt:i4>1638462</vt:i4>
      </vt:variant>
      <vt:variant>
        <vt:i4>53</vt:i4>
      </vt:variant>
      <vt:variant>
        <vt:i4>0</vt:i4>
      </vt:variant>
      <vt:variant>
        <vt:i4>5</vt:i4>
      </vt:variant>
      <vt:variant>
        <vt:lpwstr/>
      </vt:variant>
      <vt:variant>
        <vt:lpwstr>_Toc339551190</vt:lpwstr>
      </vt:variant>
      <vt:variant>
        <vt:i4>1572926</vt:i4>
      </vt:variant>
      <vt:variant>
        <vt:i4>47</vt:i4>
      </vt:variant>
      <vt:variant>
        <vt:i4>0</vt:i4>
      </vt:variant>
      <vt:variant>
        <vt:i4>5</vt:i4>
      </vt:variant>
      <vt:variant>
        <vt:lpwstr/>
      </vt:variant>
      <vt:variant>
        <vt:lpwstr>_Toc339551189</vt:lpwstr>
      </vt:variant>
      <vt:variant>
        <vt:i4>1572926</vt:i4>
      </vt:variant>
      <vt:variant>
        <vt:i4>41</vt:i4>
      </vt:variant>
      <vt:variant>
        <vt:i4>0</vt:i4>
      </vt:variant>
      <vt:variant>
        <vt:i4>5</vt:i4>
      </vt:variant>
      <vt:variant>
        <vt:lpwstr/>
      </vt:variant>
      <vt:variant>
        <vt:lpwstr>_Toc339551188</vt:lpwstr>
      </vt:variant>
      <vt:variant>
        <vt:i4>1572926</vt:i4>
      </vt:variant>
      <vt:variant>
        <vt:i4>35</vt:i4>
      </vt:variant>
      <vt:variant>
        <vt:i4>0</vt:i4>
      </vt:variant>
      <vt:variant>
        <vt:i4>5</vt:i4>
      </vt:variant>
      <vt:variant>
        <vt:lpwstr/>
      </vt:variant>
      <vt:variant>
        <vt:lpwstr>_Toc339551187</vt:lpwstr>
      </vt:variant>
      <vt:variant>
        <vt:i4>1572926</vt:i4>
      </vt:variant>
      <vt:variant>
        <vt:i4>29</vt:i4>
      </vt:variant>
      <vt:variant>
        <vt:i4>0</vt:i4>
      </vt:variant>
      <vt:variant>
        <vt:i4>5</vt:i4>
      </vt:variant>
      <vt:variant>
        <vt:lpwstr/>
      </vt:variant>
      <vt:variant>
        <vt:lpwstr>_Toc339551186</vt:lpwstr>
      </vt:variant>
      <vt:variant>
        <vt:i4>1572926</vt:i4>
      </vt:variant>
      <vt:variant>
        <vt:i4>23</vt:i4>
      </vt:variant>
      <vt:variant>
        <vt:i4>0</vt:i4>
      </vt:variant>
      <vt:variant>
        <vt:i4>5</vt:i4>
      </vt:variant>
      <vt:variant>
        <vt:lpwstr/>
      </vt:variant>
      <vt:variant>
        <vt:lpwstr>_Toc339551185</vt:lpwstr>
      </vt:variant>
      <vt:variant>
        <vt:i4>1572926</vt:i4>
      </vt:variant>
      <vt:variant>
        <vt:i4>17</vt:i4>
      </vt:variant>
      <vt:variant>
        <vt:i4>0</vt:i4>
      </vt:variant>
      <vt:variant>
        <vt:i4>5</vt:i4>
      </vt:variant>
      <vt:variant>
        <vt:lpwstr/>
      </vt:variant>
      <vt:variant>
        <vt:lpwstr>_Toc339551184</vt:lpwstr>
      </vt:variant>
      <vt:variant>
        <vt:i4>1572926</vt:i4>
      </vt:variant>
      <vt:variant>
        <vt:i4>11</vt:i4>
      </vt:variant>
      <vt:variant>
        <vt:i4>0</vt:i4>
      </vt:variant>
      <vt:variant>
        <vt:i4>5</vt:i4>
      </vt:variant>
      <vt:variant>
        <vt:lpwstr/>
      </vt:variant>
      <vt:variant>
        <vt:lpwstr>_Toc339551183</vt:lpwstr>
      </vt:variant>
      <vt:variant>
        <vt:i4>1966187</vt:i4>
      </vt:variant>
      <vt:variant>
        <vt:i4>6</vt:i4>
      </vt:variant>
      <vt:variant>
        <vt:i4>0</vt:i4>
      </vt:variant>
      <vt:variant>
        <vt:i4>5</vt:i4>
      </vt:variant>
      <vt:variant>
        <vt:lpwstr>mailto:southern@creativenz.govt.nz</vt:lpwstr>
      </vt:variant>
      <vt:variant>
        <vt:lpwstr/>
      </vt:variant>
      <vt:variant>
        <vt:i4>262251</vt:i4>
      </vt:variant>
      <vt:variant>
        <vt:i4>3</vt:i4>
      </vt:variant>
      <vt:variant>
        <vt:i4>0</vt:i4>
      </vt:variant>
      <vt:variant>
        <vt:i4>5</vt:i4>
      </vt:variant>
      <vt:variant>
        <vt:lpwstr>mailto:northern@creativenz.govt.nz</vt:lpwstr>
      </vt:variant>
      <vt:variant>
        <vt:lpwstr/>
      </vt:variant>
      <vt:variant>
        <vt:i4>852090</vt:i4>
      </vt:variant>
      <vt:variant>
        <vt:i4>0</vt:i4>
      </vt:variant>
      <vt:variant>
        <vt:i4>0</vt:i4>
      </vt:variant>
      <vt:variant>
        <vt:i4>5</vt:i4>
      </vt:variant>
      <vt:variant>
        <vt:lpwstr>mailto:info@creativenz.govt.nz</vt:lpwstr>
      </vt:variant>
      <vt:variant>
        <vt:lpwstr/>
      </vt:variant>
      <vt:variant>
        <vt:i4>3473520</vt:i4>
      </vt:variant>
      <vt:variant>
        <vt:i4>27</vt:i4>
      </vt:variant>
      <vt:variant>
        <vt:i4>0</vt:i4>
      </vt:variant>
      <vt:variant>
        <vt:i4>5</vt:i4>
      </vt:variant>
      <vt:variant>
        <vt:lpwstr>http://www.creativenz.govt.nz/</vt:lpwstr>
      </vt:variant>
      <vt:variant>
        <vt:lpwstr/>
      </vt:variant>
      <vt:variant>
        <vt:i4>3473520</vt:i4>
      </vt:variant>
      <vt:variant>
        <vt:i4>24</vt:i4>
      </vt:variant>
      <vt:variant>
        <vt:i4>0</vt:i4>
      </vt:variant>
      <vt:variant>
        <vt:i4>5</vt:i4>
      </vt:variant>
      <vt:variant>
        <vt:lpwstr>http://www.creativenz.govt.nz/</vt:lpwstr>
      </vt:variant>
      <vt:variant>
        <vt:lpwstr/>
      </vt:variant>
      <vt:variant>
        <vt:i4>3473520</vt:i4>
      </vt:variant>
      <vt:variant>
        <vt:i4>21</vt:i4>
      </vt:variant>
      <vt:variant>
        <vt:i4>0</vt:i4>
      </vt:variant>
      <vt:variant>
        <vt:i4>5</vt:i4>
      </vt:variant>
      <vt:variant>
        <vt:lpwstr>http://www.creativenz.govt.nz/</vt:lpwstr>
      </vt:variant>
      <vt:variant>
        <vt:lpwstr/>
      </vt:variant>
      <vt:variant>
        <vt:i4>3473520</vt:i4>
      </vt:variant>
      <vt:variant>
        <vt:i4>18</vt:i4>
      </vt:variant>
      <vt:variant>
        <vt:i4>0</vt:i4>
      </vt:variant>
      <vt:variant>
        <vt:i4>5</vt:i4>
      </vt:variant>
      <vt:variant>
        <vt:lpwstr>http://www.creativenz.govt.nz/</vt:lpwstr>
      </vt:variant>
      <vt:variant>
        <vt:lpwstr/>
      </vt:variant>
      <vt:variant>
        <vt:i4>3473520</vt:i4>
      </vt:variant>
      <vt:variant>
        <vt:i4>15</vt:i4>
      </vt:variant>
      <vt:variant>
        <vt:i4>0</vt:i4>
      </vt:variant>
      <vt:variant>
        <vt:i4>5</vt:i4>
      </vt:variant>
      <vt:variant>
        <vt:lpwstr>http://www.creativenz.govt.nz/</vt:lpwstr>
      </vt:variant>
      <vt:variant>
        <vt:lpwstr/>
      </vt:variant>
      <vt:variant>
        <vt:i4>3473520</vt:i4>
      </vt:variant>
      <vt:variant>
        <vt:i4>12</vt:i4>
      </vt:variant>
      <vt:variant>
        <vt:i4>0</vt:i4>
      </vt:variant>
      <vt:variant>
        <vt:i4>5</vt:i4>
      </vt:variant>
      <vt:variant>
        <vt:lpwstr>http://www.creativenz.govt.nz/</vt:lpwstr>
      </vt:variant>
      <vt:variant>
        <vt:lpwstr/>
      </vt:variant>
      <vt:variant>
        <vt:i4>3473520</vt:i4>
      </vt:variant>
      <vt:variant>
        <vt:i4>9</vt:i4>
      </vt:variant>
      <vt:variant>
        <vt:i4>0</vt:i4>
      </vt:variant>
      <vt:variant>
        <vt:i4>5</vt:i4>
      </vt:variant>
      <vt:variant>
        <vt:lpwstr>http://www.creativenz.govt.nz/</vt:lpwstr>
      </vt:variant>
      <vt:variant>
        <vt:lpwstr/>
      </vt:variant>
      <vt:variant>
        <vt:i4>3473520</vt:i4>
      </vt:variant>
      <vt:variant>
        <vt:i4>6</vt:i4>
      </vt:variant>
      <vt:variant>
        <vt:i4>0</vt:i4>
      </vt:variant>
      <vt:variant>
        <vt:i4>5</vt:i4>
      </vt:variant>
      <vt:variant>
        <vt:lpwstr>http://www.creativenz.govt.nz/</vt:lpwstr>
      </vt:variant>
      <vt:variant>
        <vt:lpwstr/>
      </vt:variant>
      <vt:variant>
        <vt:i4>3473520</vt:i4>
      </vt:variant>
      <vt:variant>
        <vt:i4>3</vt:i4>
      </vt:variant>
      <vt:variant>
        <vt:i4>0</vt:i4>
      </vt:variant>
      <vt:variant>
        <vt:i4>5</vt:i4>
      </vt:variant>
      <vt:variant>
        <vt:lpwstr>http://www.creativenz.govt.nz/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Chair</dc:title>
  <dc:creator>Sue Harkness</dc:creator>
  <cp:lastModifiedBy>Sue Harkness</cp:lastModifiedBy>
  <cp:revision>53</cp:revision>
  <cp:lastPrinted>2012-10-29T01:21:00Z</cp:lastPrinted>
  <dcterms:created xsi:type="dcterms:W3CDTF">2013-10-22T02:31:00Z</dcterms:created>
  <dcterms:modified xsi:type="dcterms:W3CDTF">2013-12-02T00:32:00Z</dcterms:modified>
</cp:coreProperties>
</file>